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7C43B5" w14:textId="6D2FDD94" w:rsidR="00203691" w:rsidRDefault="00B73CD2" w:rsidP="00203691">
      <w:pPr>
        <w:pStyle w:val="ProgramNote"/>
      </w:pPr>
      <w:bookmarkStart w:id="0" w:name="_Toc507583982"/>
      <w:bookmarkStart w:id="1" w:name="_Toc507584036"/>
      <w:bookmarkStart w:id="2" w:name="_Toc531073707"/>
      <w:bookmarkStart w:id="3" w:name="_Hlk3961767"/>
      <w:bookmarkStart w:id="4" w:name="_Hlk21005086"/>
      <w:r>
        <w:t>National Geospatial Program</w:t>
      </w:r>
    </w:p>
    <w:p w14:paraId="253E66D9" w14:textId="1CCA7AD7" w:rsidR="00203691" w:rsidRDefault="00203691" w:rsidP="00203691">
      <w:pPr>
        <w:pStyle w:val="Collaborator"/>
      </w:pPr>
      <w:r>
        <w:t>Prepared in cooperation with</w:t>
      </w:r>
      <w:r w:rsidR="009D18F4">
        <w:t xml:space="preserve"> the</w:t>
      </w:r>
      <w:r>
        <w:t xml:space="preserve"> </w:t>
      </w:r>
      <w:r w:rsidR="006A110F">
        <w:t>Asian Development Bank</w:t>
      </w:r>
    </w:p>
    <w:p w14:paraId="65FC627B" w14:textId="17E44AEA" w:rsidR="00203691" w:rsidRDefault="007D7E00" w:rsidP="00203691">
      <w:pPr>
        <w:pStyle w:val="RptTitle"/>
      </w:pPr>
      <w:r>
        <w:t>Increasing Water Security on Pacific Islands Through Increased Data Availability and Understanding—Volume 1, Overview</w:t>
      </w:r>
    </w:p>
    <w:p w14:paraId="2302B286" w14:textId="6934D33C" w:rsidR="006A110F" w:rsidRPr="00BB2C9D" w:rsidRDefault="006A110F" w:rsidP="006A110F">
      <w:pPr>
        <w:pStyle w:val="RptAuthors"/>
      </w:pPr>
      <w:bookmarkStart w:id="5" w:name="_Hlk137455813"/>
      <w:r>
        <w:t xml:space="preserve">By </w:t>
      </w:r>
      <w:bookmarkStart w:id="6" w:name="_Hlk219445430"/>
      <w:r>
        <w:t xml:space="preserve">Gabriel </w:t>
      </w:r>
      <w:r w:rsidR="0026272B">
        <w:t xml:space="preserve">B. </w:t>
      </w:r>
      <w:r>
        <w:t>Senay</w:t>
      </w:r>
      <w:r w:rsidRPr="00AA12C5">
        <w:rPr>
          <w:vertAlign w:val="superscript"/>
        </w:rPr>
        <w:t>1</w:t>
      </w:r>
      <w:r w:rsidR="31632F7D" w:rsidRPr="39B5D588">
        <w:t>,</w:t>
      </w:r>
      <w:r>
        <w:t xml:space="preserve"> </w:t>
      </w:r>
      <w:r w:rsidR="31632F7D" w:rsidRPr="52A45C98">
        <w:t xml:space="preserve">Tomas </w:t>
      </w:r>
      <w:r w:rsidR="31632F7D" w:rsidRPr="65864BE1">
        <w:t>Smieszek</w:t>
      </w:r>
      <w:r w:rsidR="31632F7D" w:rsidRPr="65864BE1">
        <w:rPr>
          <w:vertAlign w:val="superscript"/>
        </w:rPr>
        <w:t>1</w:t>
      </w:r>
      <w:r w:rsidR="2B3A8BAC" w:rsidRPr="06AF1D14">
        <w:t>,</w:t>
      </w:r>
      <w:r w:rsidDel="006A110F">
        <w:t xml:space="preserve"> </w:t>
      </w:r>
      <w:r>
        <w:t>and Matthew E. Andersen</w:t>
      </w:r>
      <w:bookmarkEnd w:id="6"/>
      <w:r w:rsidRPr="00AA12C5">
        <w:rPr>
          <w:vertAlign w:val="superscript"/>
        </w:rPr>
        <w:t>1</w:t>
      </w:r>
    </w:p>
    <w:bookmarkEnd w:id="5"/>
    <w:p w14:paraId="39878C62" w14:textId="77777777" w:rsidR="006A110F" w:rsidRDefault="006A110F" w:rsidP="006A110F">
      <w:pPr>
        <w:pStyle w:val="AuthorFootnote"/>
      </w:pPr>
      <w:r w:rsidRPr="00BB2C9D">
        <w:rPr>
          <w:vertAlign w:val="superscript"/>
        </w:rPr>
        <w:t>1</w:t>
      </w:r>
      <w:r>
        <w:t>U.S. Geological Survey.</w:t>
      </w:r>
    </w:p>
    <w:p w14:paraId="792FD0EF" w14:textId="77777777" w:rsidR="00203691" w:rsidRDefault="00203691" w:rsidP="00203691">
      <w:pPr>
        <w:pStyle w:val="Non-XMLText"/>
      </w:pPr>
      <w:r>
        <w:t>Any use of trade, firm, or product names is for descriptive purposes only and does not imply endorsement by the U.S. Government.</w:t>
      </w:r>
    </w:p>
    <w:p w14:paraId="3A6F54F7" w14:textId="77777777" w:rsidR="00203691" w:rsidRDefault="00203691" w:rsidP="00203691">
      <w:pPr>
        <w:pStyle w:val="Non-XMLText"/>
      </w:pPr>
      <w:r>
        <w:t>Although this information product, for the most part, is in the public domain, it also may contain copyrighted materials as noted in the text. Permission to reproduce copyrighted items must be secured from the copyright owner.</w:t>
      </w:r>
    </w:p>
    <w:p w14:paraId="6884352A" w14:textId="77777777" w:rsidR="003D1514" w:rsidRPr="00293634" w:rsidRDefault="003D1514" w:rsidP="003D1514">
      <w:pPr>
        <w:pStyle w:val="Non-XMLText"/>
        <w:jc w:val="both"/>
      </w:pPr>
      <w:r w:rsidRPr="00293634">
        <w:t xml:space="preserve">This draft manuscript is distributed solely for purposes of courtesy review and comments received will be addressed and treated as appropriate to ensure there is no conflict of interest. Its content is </w:t>
      </w:r>
      <w:proofErr w:type="gramStart"/>
      <w:r w:rsidRPr="00293634">
        <w:t>deliberative</w:t>
      </w:r>
      <w:proofErr w:type="gramEnd"/>
      <w:r w:rsidRPr="00293634">
        <w:t xml:space="preserve"> and </w:t>
      </w:r>
      <w:proofErr w:type="spellStart"/>
      <w:r w:rsidRPr="00293634">
        <w:t>predecisional</w:t>
      </w:r>
      <w:proofErr w:type="spellEnd"/>
      <w:r w:rsidRPr="00293634">
        <w:t>, so it must not be disclosed or released by reviewers. Because the manuscript has not yet been approved for publication by the U.S. Geological Survey (USGS), it does not represent any official USGS finding or policy.</w:t>
      </w:r>
    </w:p>
    <w:p w14:paraId="32F86D37" w14:textId="77777777" w:rsidR="003D1514" w:rsidRDefault="003D1514" w:rsidP="003D1514">
      <w:pPr>
        <w:pStyle w:val="Non-XMLText"/>
        <w:jc w:val="both"/>
      </w:pPr>
    </w:p>
    <w:p w14:paraId="5809BDB1" w14:textId="77777777" w:rsidR="003D1514" w:rsidRDefault="003D1514" w:rsidP="00203691">
      <w:pPr>
        <w:pStyle w:val="Non-XMLText"/>
      </w:pPr>
    </w:p>
    <w:p w14:paraId="489F56D6" w14:textId="77777777" w:rsidR="003920CA" w:rsidRDefault="003920CA" w:rsidP="00203691">
      <w:pPr>
        <w:pStyle w:val="Non-XMLText"/>
      </w:pPr>
    </w:p>
    <w:p w14:paraId="1EE00DB8" w14:textId="136EC8D9" w:rsidR="00203691" w:rsidRDefault="00203691" w:rsidP="00203691">
      <w:pPr>
        <w:pStyle w:val="AckHeadFront"/>
      </w:pPr>
      <w:bookmarkStart w:id="7" w:name="_Toc507583974"/>
      <w:bookmarkStart w:id="8" w:name="_Toc507584028"/>
      <w:bookmarkStart w:id="9" w:name="_Toc531073705"/>
      <w:bookmarkStart w:id="10" w:name="_Toc228290427"/>
      <w:r>
        <w:lastRenderedPageBreak/>
        <w:t>Acknowledgments</w:t>
      </w:r>
      <w:bookmarkEnd w:id="7"/>
      <w:bookmarkEnd w:id="8"/>
      <w:bookmarkEnd w:id="9"/>
      <w:bookmarkEnd w:id="10"/>
    </w:p>
    <w:p w14:paraId="1DFE05BB" w14:textId="6E7976A7" w:rsidR="005132ED" w:rsidRDefault="005132ED" w:rsidP="00203691">
      <w:pPr>
        <w:pStyle w:val="Acknowledgments"/>
      </w:pPr>
      <w:r>
        <w:t>This work was conducted in collaboration with the</w:t>
      </w:r>
      <w:r w:rsidR="002B6BC2">
        <w:t xml:space="preserve"> Strengthening Resilien</w:t>
      </w:r>
      <w:r w:rsidR="00375037">
        <w:t>t and Sustainable Urban and Water Service Delivery in the Pacific project of the</w:t>
      </w:r>
      <w:r w:rsidR="00051168">
        <w:t xml:space="preserve"> Water and Urban Development Sector of the</w:t>
      </w:r>
      <w:r>
        <w:t xml:space="preserve"> Asian Development Bank</w:t>
      </w:r>
      <w:r w:rsidR="003014C1">
        <w:t xml:space="preserve"> (ADB)</w:t>
      </w:r>
      <w:r w:rsidR="00B635B4">
        <w:t>.</w:t>
      </w:r>
      <w:r w:rsidR="003014C1">
        <w:t xml:space="preserve"> </w:t>
      </w:r>
      <w:r w:rsidR="006C4FDD">
        <w:t>ADB provided financial support from some</w:t>
      </w:r>
      <w:r w:rsidR="00F74F58">
        <w:t xml:space="preserve"> USGS</w:t>
      </w:r>
      <w:r w:rsidR="006C4FDD">
        <w:t xml:space="preserve"> technical salaries and associated administrative costs</w:t>
      </w:r>
      <w:r w:rsidR="00AE6B55">
        <w:t xml:space="preserve">, including some </w:t>
      </w:r>
      <w:r w:rsidR="005162C1">
        <w:t>of the travel necessary to administer and manage the work.</w:t>
      </w:r>
    </w:p>
    <w:p w14:paraId="04EBDEE1" w14:textId="77777777" w:rsidR="00203691" w:rsidRDefault="00203691" w:rsidP="00203691">
      <w:pPr>
        <w:pStyle w:val="TOCHeading1"/>
      </w:pPr>
      <w:bookmarkStart w:id="11" w:name="_Toc507583975"/>
      <w:bookmarkStart w:id="12" w:name="_Toc507584029"/>
      <w:r>
        <w:t>Outline</w:t>
      </w:r>
      <w:bookmarkEnd w:id="11"/>
      <w:bookmarkEnd w:id="12"/>
    </w:p>
    <w:p w14:paraId="73B5E56F" w14:textId="77777777" w:rsidR="007A325D" w:rsidRDefault="00203691">
      <w:pPr>
        <w:pStyle w:val="TOC1"/>
        <w:rPr>
          <w:rFonts w:asciiTheme="minorHAnsi" w:eastAsiaTheme="minorEastAsia" w:hAnsiTheme="minorHAnsi" w:cstheme="minorBidi"/>
          <w:noProof/>
          <w:kern w:val="2"/>
          <w14:ligatures w14:val="standardContextual"/>
        </w:rPr>
      </w:pPr>
      <w:r>
        <w:rPr>
          <w:color w:val="2B579A"/>
          <w:shd w:val="clear" w:color="auto" w:fill="E6E6E6"/>
        </w:rPr>
        <w:fldChar w:fldCharType="begin"/>
      </w:r>
      <w:r>
        <w:instrText xml:space="preserve"> TOC \o "5-5" \n \h \z \t "Heading 1,1,Heading 2,2,Heading 3,3,Heading 4,4,Base_Heading,1,AckHeadFront,1,AckHeadBack,1,Head1,1,Head2,2,Head3,3,Head4,4,DefListTitleBack,1,BackMatterHead,1,RefHeadBack,1,AppendixTitle,1,RefHeadChap,1,DMUHead1Back,1,DMUHead1Front,1,RefHeadFront,1" </w:instrText>
      </w:r>
      <w:r>
        <w:rPr>
          <w:color w:val="2B579A"/>
          <w:shd w:val="clear" w:color="auto" w:fill="E6E6E6"/>
        </w:rPr>
        <w:fldChar w:fldCharType="separate"/>
      </w:r>
      <w:hyperlink w:anchor="_Toc228290427" w:history="1">
        <w:r w:rsidR="007A325D" w:rsidRPr="00714741">
          <w:rPr>
            <w:rStyle w:val="Hyperlink"/>
            <w:noProof/>
          </w:rPr>
          <w:t>Acknowledgments</w:t>
        </w:r>
      </w:hyperlink>
    </w:p>
    <w:p w14:paraId="242FC18C" w14:textId="77777777" w:rsidR="007A325D" w:rsidRDefault="007A325D">
      <w:pPr>
        <w:pStyle w:val="TOC1"/>
        <w:rPr>
          <w:rFonts w:asciiTheme="minorHAnsi" w:eastAsiaTheme="minorEastAsia" w:hAnsiTheme="minorHAnsi" w:cstheme="minorBidi"/>
          <w:noProof/>
          <w:kern w:val="2"/>
          <w14:ligatures w14:val="standardContextual"/>
        </w:rPr>
      </w:pPr>
      <w:hyperlink w:anchor="_Toc228290428" w:history="1">
        <w:r w:rsidRPr="00714741">
          <w:rPr>
            <w:rStyle w:val="Hyperlink"/>
            <w:noProof/>
          </w:rPr>
          <w:t>Introduction</w:t>
        </w:r>
      </w:hyperlink>
    </w:p>
    <w:p w14:paraId="5720D2D4" w14:textId="77777777" w:rsidR="007A325D" w:rsidRDefault="007A325D">
      <w:pPr>
        <w:pStyle w:val="TOC1"/>
        <w:rPr>
          <w:rFonts w:asciiTheme="minorHAnsi" w:eastAsiaTheme="minorEastAsia" w:hAnsiTheme="minorHAnsi" w:cstheme="minorBidi"/>
          <w:noProof/>
          <w:kern w:val="2"/>
          <w14:ligatures w14:val="standardContextual"/>
        </w:rPr>
      </w:pPr>
      <w:hyperlink w:anchor="_Toc228290429" w:history="1">
        <w:r w:rsidRPr="00714741">
          <w:rPr>
            <w:rStyle w:val="Hyperlink"/>
            <w:noProof/>
          </w:rPr>
          <w:t>Purpose and Scope</w:t>
        </w:r>
      </w:hyperlink>
    </w:p>
    <w:p w14:paraId="2144E6FC" w14:textId="77777777" w:rsidR="007A325D" w:rsidRDefault="007A325D">
      <w:pPr>
        <w:pStyle w:val="TOC1"/>
        <w:rPr>
          <w:rFonts w:asciiTheme="minorHAnsi" w:eastAsiaTheme="minorEastAsia" w:hAnsiTheme="minorHAnsi" w:cstheme="minorBidi"/>
          <w:noProof/>
          <w:kern w:val="2"/>
          <w14:ligatures w14:val="standardContextual"/>
        </w:rPr>
      </w:pPr>
      <w:hyperlink w:anchor="_Toc228290430" w:history="1">
        <w:r w:rsidRPr="00714741">
          <w:rPr>
            <w:rStyle w:val="Hyperlink"/>
            <w:noProof/>
          </w:rPr>
          <w:t>Methods</w:t>
        </w:r>
      </w:hyperlink>
    </w:p>
    <w:p w14:paraId="6B5E0E76" w14:textId="77777777" w:rsidR="007A325D" w:rsidRDefault="007A325D">
      <w:pPr>
        <w:pStyle w:val="TOC2"/>
        <w:rPr>
          <w:rFonts w:asciiTheme="minorHAnsi" w:eastAsiaTheme="minorEastAsia" w:hAnsiTheme="minorHAnsi" w:cstheme="minorBidi"/>
          <w:noProof/>
          <w:kern w:val="2"/>
          <w14:ligatures w14:val="standardContextual"/>
        </w:rPr>
      </w:pPr>
      <w:hyperlink w:anchor="_Toc228290431" w:history="1">
        <w:r w:rsidRPr="00714741">
          <w:rPr>
            <w:rStyle w:val="Hyperlink"/>
            <w:noProof/>
          </w:rPr>
          <w:t>Applications of Remote Sensing for Water Assessments</w:t>
        </w:r>
      </w:hyperlink>
    </w:p>
    <w:p w14:paraId="125DB88F" w14:textId="77777777" w:rsidR="007A325D" w:rsidRDefault="007A325D">
      <w:pPr>
        <w:pStyle w:val="TOC3"/>
        <w:rPr>
          <w:rFonts w:asciiTheme="minorHAnsi" w:eastAsiaTheme="minorEastAsia" w:hAnsiTheme="minorHAnsi" w:cstheme="minorBidi"/>
          <w:noProof/>
          <w:kern w:val="2"/>
          <w14:ligatures w14:val="standardContextual"/>
        </w:rPr>
      </w:pPr>
      <w:hyperlink w:anchor="_Toc228290432" w:history="1">
        <w:r w:rsidRPr="00714741">
          <w:rPr>
            <w:rStyle w:val="Hyperlink"/>
            <w:noProof/>
          </w:rPr>
          <w:t>Precipitation</w:t>
        </w:r>
      </w:hyperlink>
    </w:p>
    <w:p w14:paraId="307E0ACF" w14:textId="77777777" w:rsidR="007A325D" w:rsidRDefault="007A325D">
      <w:pPr>
        <w:pStyle w:val="TOC4"/>
        <w:rPr>
          <w:rFonts w:asciiTheme="minorHAnsi" w:eastAsiaTheme="minorEastAsia" w:hAnsiTheme="minorHAnsi" w:cstheme="minorBidi"/>
          <w:noProof/>
          <w:kern w:val="2"/>
          <w14:ligatures w14:val="standardContextual"/>
        </w:rPr>
      </w:pPr>
      <w:hyperlink w:anchor="_Toc228290433" w:history="1">
        <w:r w:rsidRPr="00714741">
          <w:rPr>
            <w:rStyle w:val="Hyperlink"/>
            <w:noProof/>
          </w:rPr>
          <w:t>A. Early Run</w:t>
        </w:r>
      </w:hyperlink>
    </w:p>
    <w:p w14:paraId="6E717E43" w14:textId="77777777" w:rsidR="007A325D" w:rsidRDefault="007A325D">
      <w:pPr>
        <w:pStyle w:val="TOC4"/>
        <w:rPr>
          <w:rFonts w:asciiTheme="minorHAnsi" w:eastAsiaTheme="minorEastAsia" w:hAnsiTheme="minorHAnsi" w:cstheme="minorBidi"/>
          <w:noProof/>
          <w:kern w:val="2"/>
          <w14:ligatures w14:val="standardContextual"/>
        </w:rPr>
      </w:pPr>
      <w:hyperlink w:anchor="_Toc228290434" w:history="1">
        <w:r w:rsidRPr="00714741">
          <w:rPr>
            <w:rStyle w:val="Hyperlink"/>
            <w:noProof/>
          </w:rPr>
          <w:t>B. Late Run</w:t>
        </w:r>
      </w:hyperlink>
    </w:p>
    <w:p w14:paraId="1305D318" w14:textId="77777777" w:rsidR="007A325D" w:rsidRDefault="007A325D">
      <w:pPr>
        <w:pStyle w:val="TOC4"/>
        <w:rPr>
          <w:rFonts w:asciiTheme="minorHAnsi" w:eastAsiaTheme="minorEastAsia" w:hAnsiTheme="minorHAnsi" w:cstheme="minorBidi"/>
          <w:noProof/>
          <w:kern w:val="2"/>
          <w14:ligatures w14:val="standardContextual"/>
        </w:rPr>
      </w:pPr>
      <w:hyperlink w:anchor="_Toc228290435" w:history="1">
        <w:r w:rsidRPr="00714741">
          <w:rPr>
            <w:rStyle w:val="Hyperlink"/>
            <w:noProof/>
          </w:rPr>
          <w:t>C. Final Run</w:t>
        </w:r>
      </w:hyperlink>
    </w:p>
    <w:p w14:paraId="617FF1D8" w14:textId="77777777" w:rsidR="007A325D" w:rsidRDefault="007A325D">
      <w:pPr>
        <w:pStyle w:val="TOC3"/>
        <w:rPr>
          <w:rFonts w:asciiTheme="minorHAnsi" w:eastAsiaTheme="minorEastAsia" w:hAnsiTheme="minorHAnsi" w:cstheme="minorBidi"/>
          <w:noProof/>
          <w:kern w:val="2"/>
          <w14:ligatures w14:val="standardContextual"/>
        </w:rPr>
      </w:pPr>
      <w:hyperlink w:anchor="_Toc228290436" w:history="1">
        <w:r w:rsidRPr="00714741">
          <w:rPr>
            <w:rStyle w:val="Hyperlink"/>
            <w:noProof/>
          </w:rPr>
          <w:t>Evapotranspiration</w:t>
        </w:r>
      </w:hyperlink>
    </w:p>
    <w:p w14:paraId="046DD92B" w14:textId="77777777" w:rsidR="007A325D" w:rsidRDefault="007A325D">
      <w:pPr>
        <w:pStyle w:val="TOC3"/>
        <w:rPr>
          <w:rFonts w:asciiTheme="minorHAnsi" w:eastAsiaTheme="minorEastAsia" w:hAnsiTheme="minorHAnsi" w:cstheme="minorBidi"/>
          <w:noProof/>
          <w:kern w:val="2"/>
          <w14:ligatures w14:val="standardContextual"/>
        </w:rPr>
      </w:pPr>
      <w:hyperlink w:anchor="_Toc228290437" w:history="1">
        <w:r w:rsidRPr="00714741">
          <w:rPr>
            <w:rStyle w:val="Hyperlink"/>
            <w:noProof/>
          </w:rPr>
          <w:t>Water Balance</w:t>
        </w:r>
      </w:hyperlink>
    </w:p>
    <w:p w14:paraId="0530F71B" w14:textId="77777777" w:rsidR="007A325D" w:rsidRDefault="007A325D">
      <w:pPr>
        <w:pStyle w:val="TOC2"/>
        <w:rPr>
          <w:rFonts w:asciiTheme="minorHAnsi" w:eastAsiaTheme="minorEastAsia" w:hAnsiTheme="minorHAnsi" w:cstheme="minorBidi"/>
          <w:noProof/>
          <w:kern w:val="2"/>
          <w14:ligatures w14:val="standardContextual"/>
        </w:rPr>
      </w:pPr>
      <w:hyperlink w:anchor="_Toc228290438" w:history="1">
        <w:r w:rsidRPr="00714741">
          <w:rPr>
            <w:rStyle w:val="Hyperlink"/>
            <w:noProof/>
          </w:rPr>
          <w:t>Drought Monitoring</w:t>
        </w:r>
      </w:hyperlink>
    </w:p>
    <w:p w14:paraId="428467ED" w14:textId="77777777" w:rsidR="007A325D" w:rsidRDefault="007A325D">
      <w:pPr>
        <w:pStyle w:val="TOC3"/>
        <w:rPr>
          <w:rFonts w:asciiTheme="minorHAnsi" w:eastAsiaTheme="minorEastAsia" w:hAnsiTheme="minorHAnsi" w:cstheme="minorBidi"/>
          <w:noProof/>
          <w:kern w:val="2"/>
          <w14:ligatures w14:val="standardContextual"/>
        </w:rPr>
      </w:pPr>
      <w:hyperlink w:anchor="_Toc228290439" w:history="1">
        <w:r w:rsidRPr="00714741">
          <w:rPr>
            <w:rStyle w:val="Hyperlink"/>
            <w:noProof/>
          </w:rPr>
          <w:t>IMERG</w:t>
        </w:r>
      </w:hyperlink>
    </w:p>
    <w:p w14:paraId="6C93D3E0" w14:textId="77777777" w:rsidR="007A325D" w:rsidRDefault="007A325D">
      <w:pPr>
        <w:pStyle w:val="TOC3"/>
        <w:rPr>
          <w:rFonts w:asciiTheme="minorHAnsi" w:eastAsiaTheme="minorEastAsia" w:hAnsiTheme="minorHAnsi" w:cstheme="minorBidi"/>
          <w:noProof/>
          <w:kern w:val="2"/>
          <w14:ligatures w14:val="standardContextual"/>
        </w:rPr>
      </w:pPr>
      <w:hyperlink w:anchor="_Toc228290440" w:history="1">
        <w:r w:rsidRPr="00714741">
          <w:rPr>
            <w:rStyle w:val="Hyperlink"/>
            <w:noProof/>
          </w:rPr>
          <w:t>Historical Baseline</w:t>
        </w:r>
      </w:hyperlink>
    </w:p>
    <w:p w14:paraId="7E341DF9" w14:textId="77777777" w:rsidR="007A325D" w:rsidRDefault="007A325D">
      <w:pPr>
        <w:pStyle w:val="TOC3"/>
        <w:rPr>
          <w:rFonts w:asciiTheme="minorHAnsi" w:eastAsiaTheme="minorEastAsia" w:hAnsiTheme="minorHAnsi" w:cstheme="minorBidi"/>
          <w:noProof/>
          <w:kern w:val="2"/>
          <w14:ligatures w14:val="standardContextual"/>
        </w:rPr>
      </w:pPr>
      <w:hyperlink w:anchor="_Toc228290441" w:history="1">
        <w:r w:rsidRPr="00714741">
          <w:rPr>
            <w:rStyle w:val="Hyperlink"/>
            <w:noProof/>
          </w:rPr>
          <w:t>Drought Indices</w:t>
        </w:r>
      </w:hyperlink>
    </w:p>
    <w:p w14:paraId="306EE559" w14:textId="77777777" w:rsidR="007A325D" w:rsidRDefault="007A325D">
      <w:pPr>
        <w:pStyle w:val="TOC4"/>
        <w:rPr>
          <w:rFonts w:asciiTheme="minorHAnsi" w:eastAsiaTheme="minorEastAsia" w:hAnsiTheme="minorHAnsi" w:cstheme="minorBidi"/>
          <w:noProof/>
          <w:kern w:val="2"/>
          <w14:ligatures w14:val="standardContextual"/>
        </w:rPr>
      </w:pPr>
      <w:hyperlink w:anchor="_Toc228290442" w:history="1">
        <w:r w:rsidRPr="00714741">
          <w:rPr>
            <w:rStyle w:val="Hyperlink"/>
            <w:noProof/>
          </w:rPr>
          <w:t>Quintile-Based Rainfall Index: 1-Month</w:t>
        </w:r>
      </w:hyperlink>
    </w:p>
    <w:p w14:paraId="296165F8" w14:textId="77777777" w:rsidR="007A325D" w:rsidRDefault="007A325D">
      <w:pPr>
        <w:pStyle w:val="TOC4"/>
        <w:rPr>
          <w:rFonts w:asciiTheme="minorHAnsi" w:eastAsiaTheme="minorEastAsia" w:hAnsiTheme="minorHAnsi" w:cstheme="minorBidi"/>
          <w:noProof/>
          <w:kern w:val="2"/>
          <w14:ligatures w14:val="standardContextual"/>
        </w:rPr>
      </w:pPr>
      <w:hyperlink w:anchor="_Toc228290443" w:history="1">
        <w:r w:rsidRPr="00714741">
          <w:rPr>
            <w:rStyle w:val="Hyperlink"/>
            <w:noProof/>
          </w:rPr>
          <w:t>Quintile-Based Rainfall Index: 3-Month and 6-Month Rolling</w:t>
        </w:r>
      </w:hyperlink>
    </w:p>
    <w:p w14:paraId="18919E62" w14:textId="77777777" w:rsidR="007A325D" w:rsidRDefault="007A325D">
      <w:pPr>
        <w:pStyle w:val="TOC4"/>
        <w:rPr>
          <w:rFonts w:asciiTheme="minorHAnsi" w:eastAsiaTheme="minorEastAsia" w:hAnsiTheme="minorHAnsi" w:cstheme="minorBidi"/>
          <w:noProof/>
          <w:kern w:val="2"/>
          <w14:ligatures w14:val="standardContextual"/>
        </w:rPr>
      </w:pPr>
      <w:hyperlink w:anchor="_Toc228290444" w:history="1">
        <w:r w:rsidRPr="00714741">
          <w:rPr>
            <w:rStyle w:val="Hyperlink"/>
            <w:noProof/>
          </w:rPr>
          <w:t>PEAC 4/8-inch Index</w:t>
        </w:r>
      </w:hyperlink>
    </w:p>
    <w:p w14:paraId="2575CD6D" w14:textId="77777777" w:rsidR="007A325D" w:rsidRDefault="007A325D">
      <w:pPr>
        <w:pStyle w:val="TOC3"/>
        <w:rPr>
          <w:rFonts w:asciiTheme="minorHAnsi" w:eastAsiaTheme="minorEastAsia" w:hAnsiTheme="minorHAnsi" w:cstheme="minorBidi"/>
          <w:noProof/>
          <w:kern w:val="2"/>
          <w14:ligatures w14:val="standardContextual"/>
        </w:rPr>
      </w:pPr>
      <w:hyperlink w:anchor="_Toc228290445" w:history="1">
        <w:r w:rsidRPr="00714741">
          <w:rPr>
            <w:rStyle w:val="Hyperlink"/>
            <w:noProof/>
          </w:rPr>
          <w:t>Developing the Monitoring Report Template</w:t>
        </w:r>
      </w:hyperlink>
    </w:p>
    <w:p w14:paraId="33568E70" w14:textId="77777777" w:rsidR="007A325D" w:rsidRDefault="007A325D">
      <w:pPr>
        <w:pStyle w:val="TOC2"/>
        <w:rPr>
          <w:rFonts w:asciiTheme="minorHAnsi" w:eastAsiaTheme="minorEastAsia" w:hAnsiTheme="minorHAnsi" w:cstheme="minorBidi"/>
          <w:noProof/>
          <w:kern w:val="2"/>
          <w14:ligatures w14:val="standardContextual"/>
        </w:rPr>
      </w:pPr>
      <w:hyperlink w:anchor="_Toc228290446" w:history="1">
        <w:r w:rsidRPr="00714741">
          <w:rPr>
            <w:rStyle w:val="Hyperlink"/>
            <w:noProof/>
          </w:rPr>
          <w:t>Informal Settlements Mapping</w:t>
        </w:r>
      </w:hyperlink>
    </w:p>
    <w:p w14:paraId="1AA32F3D" w14:textId="77777777" w:rsidR="007A325D" w:rsidRDefault="007A325D">
      <w:pPr>
        <w:pStyle w:val="TOC3"/>
        <w:rPr>
          <w:rFonts w:asciiTheme="minorHAnsi" w:eastAsiaTheme="minorEastAsia" w:hAnsiTheme="minorHAnsi" w:cstheme="minorBidi"/>
          <w:noProof/>
          <w:kern w:val="2"/>
          <w14:ligatures w14:val="standardContextual"/>
        </w:rPr>
      </w:pPr>
      <w:hyperlink w:anchor="_Toc228290447" w:history="1">
        <w:r w:rsidRPr="00714741">
          <w:rPr>
            <w:rStyle w:val="Hyperlink"/>
            <w:noProof/>
          </w:rPr>
          <w:t>Satellite Imagery Sources</w:t>
        </w:r>
      </w:hyperlink>
    </w:p>
    <w:p w14:paraId="0157F4C1" w14:textId="77777777" w:rsidR="007A325D" w:rsidRDefault="007A325D">
      <w:pPr>
        <w:pStyle w:val="TOC3"/>
        <w:rPr>
          <w:rFonts w:asciiTheme="minorHAnsi" w:eastAsiaTheme="minorEastAsia" w:hAnsiTheme="minorHAnsi" w:cstheme="minorBidi"/>
          <w:noProof/>
          <w:kern w:val="2"/>
          <w14:ligatures w14:val="standardContextual"/>
        </w:rPr>
      </w:pPr>
      <w:hyperlink w:anchor="_Toc228290448" w:history="1">
        <w:r w:rsidRPr="00714741">
          <w:rPr>
            <w:rStyle w:val="Hyperlink"/>
            <w:noProof/>
          </w:rPr>
          <w:t>Study Area Boundaries</w:t>
        </w:r>
      </w:hyperlink>
    </w:p>
    <w:p w14:paraId="26554F6E" w14:textId="77777777" w:rsidR="007A325D" w:rsidRDefault="007A325D">
      <w:pPr>
        <w:pStyle w:val="TOC3"/>
        <w:rPr>
          <w:rFonts w:asciiTheme="minorHAnsi" w:eastAsiaTheme="minorEastAsia" w:hAnsiTheme="minorHAnsi" w:cstheme="minorBidi"/>
          <w:noProof/>
          <w:kern w:val="2"/>
          <w14:ligatures w14:val="standardContextual"/>
        </w:rPr>
      </w:pPr>
      <w:hyperlink w:anchor="_Toc228290449" w:history="1">
        <w:r w:rsidRPr="00714741">
          <w:rPr>
            <w:rStyle w:val="Hyperlink"/>
            <w:noProof/>
          </w:rPr>
          <w:t>Image Co-registration</w:t>
        </w:r>
      </w:hyperlink>
    </w:p>
    <w:p w14:paraId="31D4F519" w14:textId="77777777" w:rsidR="007A325D" w:rsidRDefault="007A325D">
      <w:pPr>
        <w:pStyle w:val="TOC3"/>
        <w:rPr>
          <w:rFonts w:asciiTheme="minorHAnsi" w:eastAsiaTheme="minorEastAsia" w:hAnsiTheme="minorHAnsi" w:cstheme="minorBidi"/>
          <w:noProof/>
          <w:kern w:val="2"/>
          <w14:ligatures w14:val="standardContextual"/>
        </w:rPr>
      </w:pPr>
      <w:hyperlink w:anchor="_Toc228290450" w:history="1">
        <w:r w:rsidRPr="00714741">
          <w:rPr>
            <w:rStyle w:val="Hyperlink"/>
            <w:noProof/>
          </w:rPr>
          <w:t>Building footprint extraction workflow</w:t>
        </w:r>
      </w:hyperlink>
    </w:p>
    <w:p w14:paraId="51CB7FA8" w14:textId="77777777" w:rsidR="007A325D" w:rsidRDefault="007A325D">
      <w:pPr>
        <w:pStyle w:val="TOC3"/>
        <w:rPr>
          <w:rFonts w:asciiTheme="minorHAnsi" w:eastAsiaTheme="minorEastAsia" w:hAnsiTheme="minorHAnsi" w:cstheme="minorBidi"/>
          <w:noProof/>
          <w:kern w:val="2"/>
          <w14:ligatures w14:val="standardContextual"/>
        </w:rPr>
      </w:pPr>
      <w:hyperlink w:anchor="_Toc228290451" w:history="1">
        <w:r w:rsidRPr="00714741">
          <w:rPr>
            <w:rStyle w:val="Hyperlink"/>
            <w:noProof/>
          </w:rPr>
          <w:t>Image Preprocessing</w:t>
        </w:r>
      </w:hyperlink>
    </w:p>
    <w:p w14:paraId="06ED41BD" w14:textId="77777777" w:rsidR="007A325D" w:rsidRDefault="007A325D">
      <w:pPr>
        <w:pStyle w:val="TOC4"/>
        <w:rPr>
          <w:rFonts w:asciiTheme="minorHAnsi" w:eastAsiaTheme="minorEastAsia" w:hAnsiTheme="minorHAnsi" w:cstheme="minorBidi"/>
          <w:noProof/>
          <w:kern w:val="2"/>
          <w14:ligatures w14:val="standardContextual"/>
        </w:rPr>
      </w:pPr>
      <w:hyperlink w:anchor="_Toc228290452" w:history="1">
        <w:r w:rsidRPr="00714741">
          <w:rPr>
            <w:rStyle w:val="Hyperlink"/>
            <w:noProof/>
          </w:rPr>
          <w:t>Pan-sharpening</w:t>
        </w:r>
      </w:hyperlink>
    </w:p>
    <w:p w14:paraId="56FFA874" w14:textId="77777777" w:rsidR="007A325D" w:rsidRDefault="007A325D">
      <w:pPr>
        <w:pStyle w:val="TOC4"/>
        <w:rPr>
          <w:rFonts w:asciiTheme="minorHAnsi" w:eastAsiaTheme="minorEastAsia" w:hAnsiTheme="minorHAnsi" w:cstheme="minorBidi"/>
          <w:noProof/>
          <w:kern w:val="2"/>
          <w14:ligatures w14:val="standardContextual"/>
        </w:rPr>
      </w:pPr>
      <w:hyperlink w:anchor="_Toc228290453" w:history="1">
        <w:r w:rsidRPr="00714741">
          <w:rPr>
            <w:rStyle w:val="Hyperlink"/>
            <w:noProof/>
          </w:rPr>
          <w:t>RGB Composite</w:t>
        </w:r>
      </w:hyperlink>
    </w:p>
    <w:p w14:paraId="28EE5E35" w14:textId="77777777" w:rsidR="007A325D" w:rsidRDefault="007A325D">
      <w:pPr>
        <w:pStyle w:val="TOC3"/>
        <w:rPr>
          <w:rFonts w:asciiTheme="minorHAnsi" w:eastAsiaTheme="minorEastAsia" w:hAnsiTheme="minorHAnsi" w:cstheme="minorBidi"/>
          <w:noProof/>
          <w:kern w:val="2"/>
          <w14:ligatures w14:val="standardContextual"/>
        </w:rPr>
      </w:pPr>
      <w:hyperlink w:anchor="_Toc228290454" w:history="1">
        <w:r w:rsidRPr="00714741">
          <w:rPr>
            <w:rStyle w:val="Hyperlink"/>
            <w:noProof/>
          </w:rPr>
          <w:t>Model Selection</w:t>
        </w:r>
      </w:hyperlink>
    </w:p>
    <w:p w14:paraId="5BA0D897" w14:textId="77777777" w:rsidR="007A325D" w:rsidRDefault="007A325D">
      <w:pPr>
        <w:pStyle w:val="TOC3"/>
        <w:rPr>
          <w:rFonts w:asciiTheme="minorHAnsi" w:eastAsiaTheme="minorEastAsia" w:hAnsiTheme="minorHAnsi" w:cstheme="minorBidi"/>
          <w:noProof/>
          <w:kern w:val="2"/>
          <w14:ligatures w14:val="standardContextual"/>
        </w:rPr>
      </w:pPr>
      <w:hyperlink w:anchor="_Toc228290455" w:history="1">
        <w:r w:rsidRPr="00714741">
          <w:rPr>
            <w:rStyle w:val="Hyperlink"/>
            <w:noProof/>
          </w:rPr>
          <w:t>Detection Parameters</w:t>
        </w:r>
      </w:hyperlink>
    </w:p>
    <w:p w14:paraId="44A201AE" w14:textId="77777777" w:rsidR="007A325D" w:rsidRDefault="007A325D">
      <w:pPr>
        <w:pStyle w:val="TOC3"/>
        <w:rPr>
          <w:rFonts w:asciiTheme="minorHAnsi" w:eastAsiaTheme="minorEastAsia" w:hAnsiTheme="minorHAnsi" w:cstheme="minorBidi"/>
          <w:noProof/>
          <w:kern w:val="2"/>
          <w14:ligatures w14:val="standardContextual"/>
        </w:rPr>
      </w:pPr>
      <w:hyperlink w:anchor="_Toc228290456" w:history="1">
        <w:r w:rsidRPr="00714741">
          <w:rPr>
            <w:rStyle w:val="Hyperlink"/>
            <w:noProof/>
          </w:rPr>
          <w:t>Post-Processing Pipeline</w:t>
        </w:r>
      </w:hyperlink>
    </w:p>
    <w:p w14:paraId="16274E79" w14:textId="77777777" w:rsidR="007A325D" w:rsidRDefault="007A325D">
      <w:pPr>
        <w:pStyle w:val="TOC4"/>
        <w:rPr>
          <w:rFonts w:asciiTheme="minorHAnsi" w:eastAsiaTheme="minorEastAsia" w:hAnsiTheme="minorHAnsi" w:cstheme="minorBidi"/>
          <w:noProof/>
          <w:kern w:val="2"/>
          <w14:ligatures w14:val="standardContextual"/>
        </w:rPr>
      </w:pPr>
      <w:hyperlink w:anchor="_Toc228290457" w:history="1">
        <w:r w:rsidRPr="00714741">
          <w:rPr>
            <w:rStyle w:val="Hyperlink"/>
            <w:noProof/>
          </w:rPr>
          <w:t>Stage 1 -  AOI/Coastal Clip</w:t>
        </w:r>
      </w:hyperlink>
    </w:p>
    <w:p w14:paraId="7CFA3EC3" w14:textId="77777777" w:rsidR="007A325D" w:rsidRDefault="007A325D">
      <w:pPr>
        <w:pStyle w:val="TOC4"/>
        <w:rPr>
          <w:rFonts w:asciiTheme="minorHAnsi" w:eastAsiaTheme="minorEastAsia" w:hAnsiTheme="minorHAnsi" w:cstheme="minorBidi"/>
          <w:noProof/>
          <w:kern w:val="2"/>
          <w14:ligatures w14:val="standardContextual"/>
        </w:rPr>
      </w:pPr>
      <w:hyperlink w:anchor="_Toc228290458" w:history="1">
        <w:r w:rsidRPr="00714741">
          <w:rPr>
            <w:rStyle w:val="Hyperlink"/>
            <w:noProof/>
          </w:rPr>
          <w:t>Stage 2 - Area Filter</w:t>
        </w:r>
      </w:hyperlink>
    </w:p>
    <w:p w14:paraId="2746B1A2" w14:textId="77777777" w:rsidR="007A325D" w:rsidRDefault="007A325D">
      <w:pPr>
        <w:pStyle w:val="TOC4"/>
        <w:rPr>
          <w:rFonts w:asciiTheme="minorHAnsi" w:eastAsiaTheme="minorEastAsia" w:hAnsiTheme="minorHAnsi" w:cstheme="minorBidi"/>
          <w:noProof/>
          <w:kern w:val="2"/>
          <w14:ligatures w14:val="standardContextual"/>
        </w:rPr>
      </w:pPr>
      <w:hyperlink w:anchor="_Toc228290459" w:history="1">
        <w:r w:rsidRPr="00714741">
          <w:rPr>
            <w:rStyle w:val="Hyperlink"/>
            <w:noProof/>
          </w:rPr>
          <w:t>Stage 3 - Repair Geometry</w:t>
        </w:r>
      </w:hyperlink>
    </w:p>
    <w:p w14:paraId="5E1951D1" w14:textId="77777777" w:rsidR="007A325D" w:rsidRDefault="007A325D">
      <w:pPr>
        <w:pStyle w:val="TOC4"/>
        <w:rPr>
          <w:rFonts w:asciiTheme="minorHAnsi" w:eastAsiaTheme="minorEastAsia" w:hAnsiTheme="minorHAnsi" w:cstheme="minorBidi"/>
          <w:noProof/>
          <w:kern w:val="2"/>
          <w14:ligatures w14:val="standardContextual"/>
        </w:rPr>
      </w:pPr>
      <w:hyperlink w:anchor="_Toc228290460" w:history="1">
        <w:r w:rsidRPr="00714741">
          <w:rPr>
            <w:rStyle w:val="Hyperlink"/>
            <w:noProof/>
          </w:rPr>
          <w:t>Stage 4 - Regularize Building Footprints</w:t>
        </w:r>
      </w:hyperlink>
    </w:p>
    <w:p w14:paraId="0C64A116" w14:textId="77777777" w:rsidR="007A325D" w:rsidRDefault="007A325D">
      <w:pPr>
        <w:pStyle w:val="TOC4"/>
        <w:rPr>
          <w:rFonts w:asciiTheme="minorHAnsi" w:eastAsiaTheme="minorEastAsia" w:hAnsiTheme="minorHAnsi" w:cstheme="minorBidi"/>
          <w:noProof/>
          <w:kern w:val="2"/>
          <w14:ligatures w14:val="standardContextual"/>
        </w:rPr>
      </w:pPr>
      <w:hyperlink w:anchor="_Toc228290461" w:history="1">
        <w:r w:rsidRPr="00714741">
          <w:rPr>
            <w:rStyle w:val="Hyperlink"/>
            <w:noProof/>
          </w:rPr>
          <w:t>Stage 5 - Manual QA/QC</w:t>
        </w:r>
      </w:hyperlink>
    </w:p>
    <w:p w14:paraId="0B847A86" w14:textId="77777777" w:rsidR="007A325D" w:rsidRDefault="007A325D">
      <w:pPr>
        <w:pStyle w:val="TOC3"/>
        <w:rPr>
          <w:rFonts w:asciiTheme="minorHAnsi" w:eastAsiaTheme="minorEastAsia" w:hAnsiTheme="minorHAnsi" w:cstheme="minorBidi"/>
          <w:noProof/>
          <w:kern w:val="2"/>
          <w14:ligatures w14:val="standardContextual"/>
        </w:rPr>
      </w:pPr>
      <w:hyperlink w:anchor="_Toc228290462" w:history="1">
        <w:r w:rsidRPr="00714741">
          <w:rPr>
            <w:rStyle w:val="Hyperlink"/>
            <w:noProof/>
          </w:rPr>
          <w:t>Urban Growth Metric Computation</w:t>
        </w:r>
      </w:hyperlink>
    </w:p>
    <w:p w14:paraId="745D1CA0" w14:textId="77777777" w:rsidR="007A325D" w:rsidRDefault="007A325D">
      <w:pPr>
        <w:pStyle w:val="TOC2"/>
        <w:rPr>
          <w:rFonts w:asciiTheme="minorHAnsi" w:eastAsiaTheme="minorEastAsia" w:hAnsiTheme="minorHAnsi" w:cstheme="minorBidi"/>
          <w:noProof/>
          <w:kern w:val="2"/>
          <w14:ligatures w14:val="standardContextual"/>
        </w:rPr>
      </w:pPr>
      <w:hyperlink w:anchor="_Toc228290463" w:history="1">
        <w:r w:rsidRPr="00714741">
          <w:rPr>
            <w:rStyle w:val="Hyperlink"/>
            <w:noProof/>
          </w:rPr>
          <w:t>Seismic Risk</w:t>
        </w:r>
      </w:hyperlink>
    </w:p>
    <w:p w14:paraId="33201DF0" w14:textId="77777777" w:rsidR="007A325D" w:rsidRDefault="007A325D">
      <w:pPr>
        <w:pStyle w:val="TOC1"/>
        <w:rPr>
          <w:rFonts w:asciiTheme="minorHAnsi" w:eastAsiaTheme="minorEastAsia" w:hAnsiTheme="minorHAnsi" w:cstheme="minorBidi"/>
          <w:noProof/>
          <w:kern w:val="2"/>
          <w14:ligatures w14:val="standardContextual"/>
        </w:rPr>
      </w:pPr>
      <w:hyperlink w:anchor="_Toc228290464" w:history="1">
        <w:r w:rsidRPr="00714741">
          <w:rPr>
            <w:rStyle w:val="Hyperlink"/>
            <w:noProof/>
          </w:rPr>
          <w:t>Summary</w:t>
        </w:r>
      </w:hyperlink>
    </w:p>
    <w:p w14:paraId="722944BF" w14:textId="77777777" w:rsidR="007A325D" w:rsidRDefault="007A325D">
      <w:pPr>
        <w:pStyle w:val="TOC1"/>
        <w:rPr>
          <w:rFonts w:asciiTheme="minorHAnsi" w:eastAsiaTheme="minorEastAsia" w:hAnsiTheme="minorHAnsi" w:cstheme="minorBidi"/>
          <w:noProof/>
          <w:kern w:val="2"/>
          <w14:ligatures w14:val="standardContextual"/>
        </w:rPr>
      </w:pPr>
      <w:hyperlink w:anchor="_Toc228290465" w:history="1">
        <w:r w:rsidRPr="00714741">
          <w:rPr>
            <w:rStyle w:val="Hyperlink"/>
            <w:noProof/>
          </w:rPr>
          <w:t>References Cited</w:t>
        </w:r>
      </w:hyperlink>
    </w:p>
    <w:p w14:paraId="662DFC9A" w14:textId="343F34F2" w:rsidR="00203691" w:rsidRDefault="00203691" w:rsidP="00203691">
      <w:pPr>
        <w:pStyle w:val="TOC1"/>
      </w:pPr>
      <w:r>
        <w:rPr>
          <w:color w:val="2B579A"/>
          <w:shd w:val="clear" w:color="auto" w:fill="E6E6E6"/>
        </w:rPr>
        <w:fldChar w:fldCharType="end"/>
      </w:r>
    </w:p>
    <w:p w14:paraId="0D409EF4" w14:textId="77777777" w:rsidR="00203691" w:rsidRDefault="00203691" w:rsidP="00203691">
      <w:pPr>
        <w:pStyle w:val="TOCHeading2"/>
      </w:pPr>
      <w:bookmarkStart w:id="13" w:name="_Toc507583976"/>
      <w:bookmarkStart w:id="14" w:name="_Toc507584030"/>
      <w:r>
        <w:t>Figures</w:t>
      </w:r>
    </w:p>
    <w:p w14:paraId="2705EB3E" w14:textId="77777777" w:rsidR="0059221D" w:rsidRDefault="00203691">
      <w:pPr>
        <w:pStyle w:val="TableofFigures"/>
        <w:tabs>
          <w:tab w:val="right" w:leader="dot" w:pos="9350"/>
        </w:tabs>
        <w:rPr>
          <w:rFonts w:asciiTheme="minorHAnsi" w:eastAsiaTheme="minorEastAsia" w:hAnsiTheme="minorHAnsi" w:cstheme="minorBidi"/>
          <w:noProof/>
          <w:kern w:val="2"/>
          <w14:ligatures w14:val="standardContextual"/>
        </w:rPr>
      </w:pPr>
      <w:r>
        <w:rPr>
          <w:color w:val="2B579A"/>
          <w:shd w:val="clear" w:color="auto" w:fill="E6E6E6"/>
        </w:rPr>
        <w:fldChar w:fldCharType="begin"/>
      </w:r>
      <w:r>
        <w:instrText xml:space="preserve"> TOC \n \h \z \t "FigureCaption,1" \c "Figure" </w:instrText>
      </w:r>
      <w:r>
        <w:rPr>
          <w:color w:val="2B579A"/>
          <w:shd w:val="clear" w:color="auto" w:fill="E6E6E6"/>
        </w:rPr>
        <w:fldChar w:fldCharType="separate"/>
      </w:r>
      <w:hyperlink w:anchor="_Toc228290760" w:history="1">
        <w:r w:rsidR="0059221D" w:rsidRPr="00507188">
          <w:rPr>
            <w:rStyle w:val="Hyperlink"/>
            <w:noProof/>
          </w:rPr>
          <w:t>Figure 1. Map of the Pacific Island nations of Federated States of Micronesia (FSM), Fiji, Nauru, Papua New Guinea, Republic of the Marshall Islands (RMI), Solomon Islands, and Vanuatu. The study sites are highlighted in a dark color (black) for each nation.</w:t>
        </w:r>
      </w:hyperlink>
    </w:p>
    <w:p w14:paraId="291E66E4" w14:textId="77777777" w:rsidR="0059221D" w:rsidRDefault="0059221D">
      <w:pPr>
        <w:pStyle w:val="TableofFigures"/>
        <w:tabs>
          <w:tab w:val="right" w:leader="dot" w:pos="9350"/>
        </w:tabs>
        <w:rPr>
          <w:rFonts w:asciiTheme="minorHAnsi" w:eastAsiaTheme="minorEastAsia" w:hAnsiTheme="minorHAnsi" w:cstheme="minorBidi"/>
          <w:noProof/>
          <w:kern w:val="2"/>
          <w14:ligatures w14:val="standardContextual"/>
        </w:rPr>
      </w:pPr>
      <w:hyperlink w:anchor="_Toc228290761" w:history="1">
        <w:r w:rsidRPr="00507188">
          <w:rPr>
            <w:rStyle w:val="Hyperlink"/>
            <w:noProof/>
          </w:rPr>
          <w:t>Figure 2. Mean annual precipitation from 2015 - 2024 from IMERG Final Run dataset, displaying lower values in light blue and higher values dark blue.</w:t>
        </w:r>
      </w:hyperlink>
    </w:p>
    <w:p w14:paraId="0E5E099B" w14:textId="77777777" w:rsidR="0059221D" w:rsidRDefault="0059221D">
      <w:pPr>
        <w:pStyle w:val="TableofFigures"/>
        <w:tabs>
          <w:tab w:val="right" w:leader="dot" w:pos="9350"/>
        </w:tabs>
        <w:rPr>
          <w:rFonts w:asciiTheme="minorHAnsi" w:eastAsiaTheme="minorEastAsia" w:hAnsiTheme="minorHAnsi" w:cstheme="minorBidi"/>
          <w:noProof/>
          <w:kern w:val="2"/>
          <w14:ligatures w14:val="standardContextual"/>
        </w:rPr>
      </w:pPr>
      <w:hyperlink w:anchor="_Toc228290762" w:history="1">
        <w:r w:rsidRPr="00507188">
          <w:rPr>
            <w:rStyle w:val="Hyperlink"/>
            <w:noProof/>
          </w:rPr>
          <w:t>Figure 3. Workflow of IMERG precipitation data processing.</w:t>
        </w:r>
      </w:hyperlink>
    </w:p>
    <w:p w14:paraId="48A32B71" w14:textId="77777777" w:rsidR="0059221D" w:rsidRDefault="0059221D">
      <w:pPr>
        <w:pStyle w:val="TableofFigures"/>
        <w:tabs>
          <w:tab w:val="right" w:leader="dot" w:pos="9350"/>
        </w:tabs>
        <w:rPr>
          <w:rFonts w:asciiTheme="minorHAnsi" w:eastAsiaTheme="minorEastAsia" w:hAnsiTheme="minorHAnsi" w:cstheme="minorBidi"/>
          <w:noProof/>
          <w:kern w:val="2"/>
          <w14:ligatures w14:val="standardContextual"/>
        </w:rPr>
      </w:pPr>
      <w:hyperlink w:anchor="_Toc228290763" w:history="1">
        <w:r w:rsidRPr="00507188">
          <w:rPr>
            <w:rStyle w:val="Hyperlink"/>
            <w:noProof/>
          </w:rPr>
          <w:t xml:space="preserve">Figure 4. Example precipitation monitoring chart for a single location, Kosrae in the FSM. Orange bars represent current-year monthly totals; the blue line is the long-term monthly median; the gray ribbon is the interquartile range of the 2000–2024 baseline. </w:t>
        </w:r>
        <w:r w:rsidRPr="00507188">
          <w:rPr>
            <w:rStyle w:val="Hyperlink"/>
            <w:rFonts w:eastAsia="Times New Roman"/>
            <w:noProof/>
          </w:rPr>
          <w:t>The summary table to the right reports the current-month precipitation, long-term median, and all three drought index classifications for the most recently completed month.</w:t>
        </w:r>
      </w:hyperlink>
    </w:p>
    <w:p w14:paraId="36C6675E" w14:textId="77777777" w:rsidR="0059221D" w:rsidRDefault="0059221D">
      <w:pPr>
        <w:pStyle w:val="TableofFigures"/>
        <w:tabs>
          <w:tab w:val="right" w:leader="dot" w:pos="9350"/>
        </w:tabs>
        <w:rPr>
          <w:rFonts w:asciiTheme="minorHAnsi" w:eastAsiaTheme="minorEastAsia" w:hAnsiTheme="minorHAnsi" w:cstheme="minorBidi"/>
          <w:noProof/>
          <w:kern w:val="2"/>
          <w14:ligatures w14:val="standardContextual"/>
        </w:rPr>
      </w:pPr>
      <w:hyperlink w:anchor="_Toc228290764" w:history="1">
        <w:r w:rsidRPr="00507188">
          <w:rPr>
            <w:rStyle w:val="Hyperlink"/>
            <w:noProof/>
          </w:rPr>
          <w:t>Figure 5. Pacific Plate boundaries and relative motion. Source: USGS. Public Domain.</w:t>
        </w:r>
      </w:hyperlink>
    </w:p>
    <w:p w14:paraId="3038F8D2" w14:textId="74784867" w:rsidR="00203691" w:rsidRDefault="00203691" w:rsidP="00712B5C">
      <w:pPr>
        <w:pStyle w:val="TableofFigures"/>
        <w:tabs>
          <w:tab w:val="left" w:pos="1440"/>
          <w:tab w:val="right" w:leader="dot" w:pos="9350"/>
        </w:tabs>
      </w:pPr>
      <w:r>
        <w:rPr>
          <w:color w:val="2B579A"/>
          <w:shd w:val="clear" w:color="auto" w:fill="E6E6E6"/>
        </w:rPr>
        <w:fldChar w:fldCharType="end"/>
      </w:r>
    </w:p>
    <w:p w14:paraId="2E604A13" w14:textId="77777777" w:rsidR="00282603" w:rsidRPr="003E1F8B" w:rsidRDefault="00203691">
      <w:pPr>
        <w:pStyle w:val="TableofFigures"/>
        <w:tabs>
          <w:tab w:val="right" w:leader="dot" w:pos="9350"/>
        </w:tabs>
        <w:rPr>
          <w:b/>
        </w:rPr>
      </w:pPr>
      <w:r w:rsidRPr="003E1F8B">
        <w:rPr>
          <w:b/>
        </w:rPr>
        <w:t>Tables</w:t>
      </w:r>
    </w:p>
    <w:p w14:paraId="38304F83" w14:textId="77777777" w:rsidR="0059221D" w:rsidRDefault="00203691">
      <w:pPr>
        <w:pStyle w:val="TableofFigures"/>
        <w:tabs>
          <w:tab w:val="right" w:leader="dot" w:pos="9350"/>
        </w:tabs>
        <w:rPr>
          <w:rFonts w:asciiTheme="minorHAnsi" w:eastAsiaTheme="minorEastAsia" w:hAnsiTheme="minorHAnsi" w:cstheme="minorBidi"/>
          <w:noProof/>
          <w:kern w:val="2"/>
          <w14:ligatures w14:val="standardContextual"/>
        </w:rPr>
      </w:pPr>
      <w:r>
        <w:rPr>
          <w:b/>
          <w:color w:val="2B579A"/>
          <w:sz w:val="28"/>
          <w:shd w:val="clear" w:color="auto" w:fill="E6E6E6"/>
        </w:rPr>
        <w:fldChar w:fldCharType="begin"/>
      </w:r>
      <w:r>
        <w:instrText xml:space="preserve"> TOC \f T \n \h \z \t "TableTitle" \c "Table" </w:instrText>
      </w:r>
      <w:r>
        <w:rPr>
          <w:b/>
          <w:color w:val="2B579A"/>
          <w:sz w:val="28"/>
          <w:shd w:val="clear" w:color="auto" w:fill="E6E6E6"/>
        </w:rPr>
        <w:fldChar w:fldCharType="separate"/>
      </w:r>
      <w:hyperlink w:anchor="_Toc228290767" w:history="1">
        <w:r w:rsidR="0059221D" w:rsidRPr="00186E8D">
          <w:rPr>
            <w:rStyle w:val="Hyperlink"/>
            <w:noProof/>
          </w:rPr>
          <w:t>International System of Units to U.S. customary units</w:t>
        </w:r>
      </w:hyperlink>
    </w:p>
    <w:p w14:paraId="30673805" w14:textId="77777777" w:rsidR="0059221D" w:rsidRDefault="0059221D">
      <w:pPr>
        <w:pStyle w:val="TableofFigures"/>
        <w:tabs>
          <w:tab w:val="right" w:leader="dot" w:pos="9350"/>
        </w:tabs>
        <w:rPr>
          <w:rFonts w:asciiTheme="minorHAnsi" w:eastAsiaTheme="minorEastAsia" w:hAnsiTheme="minorHAnsi" w:cstheme="minorBidi"/>
          <w:noProof/>
          <w:kern w:val="2"/>
          <w14:ligatures w14:val="standardContextual"/>
        </w:rPr>
      </w:pPr>
      <w:hyperlink w:anchor="_Toc228290768" w:history="1">
        <w:r w:rsidRPr="00186E8D">
          <w:rPr>
            <w:rStyle w:val="Hyperlink"/>
            <w:noProof/>
          </w:rPr>
          <w:t xml:space="preserve">Table 1. Assessment tasks for each study site. The marker </w:t>
        </w:r>
        <w:r w:rsidRPr="00186E8D">
          <w:rPr>
            <w:rStyle w:val="Hyperlink"/>
            <w:rFonts w:ascii="Univers 57 Condensed" w:hAnsi="Univers 57 Condensed"/>
            <w:noProof/>
          </w:rPr>
          <w:t>“x”  indicates a relevant activity for the site.</w:t>
        </w:r>
      </w:hyperlink>
    </w:p>
    <w:p w14:paraId="02DCF315" w14:textId="77777777" w:rsidR="0059221D" w:rsidRDefault="0059221D">
      <w:pPr>
        <w:pStyle w:val="TableofFigures"/>
        <w:tabs>
          <w:tab w:val="right" w:leader="dot" w:pos="9350"/>
        </w:tabs>
        <w:rPr>
          <w:rFonts w:asciiTheme="minorHAnsi" w:eastAsiaTheme="minorEastAsia" w:hAnsiTheme="minorHAnsi" w:cstheme="minorBidi"/>
          <w:noProof/>
          <w:kern w:val="2"/>
          <w14:ligatures w14:val="standardContextual"/>
        </w:rPr>
      </w:pPr>
      <w:hyperlink w:anchor="_Toc228290769" w:history="1">
        <w:r w:rsidRPr="00186E8D">
          <w:rPr>
            <w:rStyle w:val="Hyperlink"/>
            <w:noProof/>
          </w:rPr>
          <w:t>Table 2. Key Processing Parameters</w:t>
        </w:r>
      </w:hyperlink>
    </w:p>
    <w:p w14:paraId="7166293E" w14:textId="77777777" w:rsidR="0059221D" w:rsidRDefault="0059221D">
      <w:pPr>
        <w:pStyle w:val="TableofFigures"/>
        <w:tabs>
          <w:tab w:val="right" w:leader="dot" w:pos="9350"/>
        </w:tabs>
        <w:rPr>
          <w:rFonts w:asciiTheme="minorHAnsi" w:eastAsiaTheme="minorEastAsia" w:hAnsiTheme="minorHAnsi" w:cstheme="minorBidi"/>
          <w:noProof/>
          <w:kern w:val="2"/>
          <w14:ligatures w14:val="standardContextual"/>
        </w:rPr>
      </w:pPr>
      <w:hyperlink w:anchor="_Toc228290770" w:history="1">
        <w:r w:rsidRPr="00186E8D">
          <w:rPr>
            <w:rStyle w:val="Hyperlink"/>
            <w:noProof/>
          </w:rPr>
          <w:t>Table 3. Study site summary - six informal settlement sites across three Pacific Island nations with survey epochs and sensor sources.</w:t>
        </w:r>
      </w:hyperlink>
    </w:p>
    <w:p w14:paraId="77492DB4" w14:textId="77777777" w:rsidR="0059221D" w:rsidRDefault="0059221D">
      <w:pPr>
        <w:pStyle w:val="TableofFigures"/>
        <w:tabs>
          <w:tab w:val="right" w:leader="dot" w:pos="9350"/>
        </w:tabs>
        <w:rPr>
          <w:rFonts w:asciiTheme="minorHAnsi" w:eastAsiaTheme="minorEastAsia" w:hAnsiTheme="minorHAnsi" w:cstheme="minorBidi"/>
          <w:noProof/>
          <w:kern w:val="2"/>
          <w14:ligatures w14:val="standardContextual"/>
        </w:rPr>
      </w:pPr>
      <w:hyperlink w:anchor="_Toc228290771" w:history="1">
        <w:r w:rsidRPr="00186E8D">
          <w:rPr>
            <w:rStyle w:val="Hyperlink"/>
            <w:noProof/>
          </w:rPr>
          <w:t>Table 4. Spatial resolution specifications for the three VHR sensor platforms used in this study</w:t>
        </w:r>
      </w:hyperlink>
    </w:p>
    <w:p w14:paraId="4D6B3ED0" w14:textId="77777777" w:rsidR="0059221D" w:rsidRDefault="0059221D">
      <w:pPr>
        <w:pStyle w:val="TableofFigures"/>
        <w:tabs>
          <w:tab w:val="right" w:leader="dot" w:pos="9350"/>
        </w:tabs>
        <w:rPr>
          <w:rFonts w:asciiTheme="minorHAnsi" w:eastAsiaTheme="minorEastAsia" w:hAnsiTheme="minorHAnsi" w:cstheme="minorBidi"/>
          <w:noProof/>
          <w:kern w:val="2"/>
          <w14:ligatures w14:val="standardContextual"/>
        </w:rPr>
      </w:pPr>
      <w:hyperlink w:anchor="_Toc228290772" w:history="1">
        <w:r w:rsidRPr="00186E8D">
          <w:rPr>
            <w:rStyle w:val="Hyperlink"/>
            <w:noProof/>
          </w:rPr>
          <w:t>Table 5. Each stage is described in detail below.</w:t>
        </w:r>
      </w:hyperlink>
    </w:p>
    <w:p w14:paraId="2655851C" w14:textId="77777777" w:rsidR="0059221D" w:rsidRDefault="0059221D">
      <w:pPr>
        <w:pStyle w:val="TableofFigures"/>
        <w:tabs>
          <w:tab w:val="right" w:leader="dot" w:pos="9350"/>
        </w:tabs>
        <w:rPr>
          <w:rFonts w:asciiTheme="minorHAnsi" w:eastAsiaTheme="minorEastAsia" w:hAnsiTheme="minorHAnsi" w:cstheme="minorBidi"/>
          <w:noProof/>
          <w:kern w:val="2"/>
          <w14:ligatures w14:val="standardContextual"/>
        </w:rPr>
      </w:pPr>
      <w:hyperlink w:anchor="_Toc228290773" w:history="1">
        <w:r w:rsidRPr="00186E8D">
          <w:rPr>
            <w:rStyle w:val="Hyperlink"/>
            <w:noProof/>
          </w:rPr>
          <w:t>Table 6. Deep learning detection parameters applied by country group. Lower confidence threshold at PNG sites was necessary to maximize recall under dense canopy cover.</w:t>
        </w:r>
      </w:hyperlink>
    </w:p>
    <w:p w14:paraId="16E3E585" w14:textId="39E04AF4" w:rsidR="00203691" w:rsidRDefault="00203691" w:rsidP="00203691">
      <w:pPr>
        <w:pStyle w:val="TableofFigures"/>
        <w:tabs>
          <w:tab w:val="left" w:pos="1195"/>
          <w:tab w:val="right" w:leader="dot" w:pos="9350"/>
        </w:tabs>
      </w:pPr>
      <w:r>
        <w:rPr>
          <w:color w:val="2B579A"/>
          <w:shd w:val="clear" w:color="auto" w:fill="E6E6E6"/>
        </w:rPr>
        <w:fldChar w:fldCharType="end"/>
      </w:r>
    </w:p>
    <w:p w14:paraId="3FE8D5DD" w14:textId="3D1E2CCB" w:rsidR="00203691" w:rsidRDefault="00203691" w:rsidP="00203691">
      <w:pPr>
        <w:pStyle w:val="FrontMatterHead"/>
      </w:pPr>
      <w:r>
        <w:lastRenderedPageBreak/>
        <w:t>Conversion Factors</w:t>
      </w:r>
      <w:bookmarkEnd w:id="13"/>
      <w:bookmarkEnd w:id="14"/>
    </w:p>
    <w:p w14:paraId="616C6E77" w14:textId="77777777" w:rsidR="00203691" w:rsidRDefault="00203691" w:rsidP="00203691">
      <w:pPr>
        <w:pStyle w:val="TableTitle"/>
      </w:pPr>
      <w:bookmarkStart w:id="15" w:name="_Toc507583978"/>
      <w:bookmarkStart w:id="16" w:name="_Toc507584032"/>
      <w:bookmarkStart w:id="17" w:name="_Toc20723230"/>
      <w:bookmarkStart w:id="18" w:name="_Toc228290767"/>
      <w:r>
        <w:t>International System of Units to U.S. customary units</w:t>
      </w:r>
      <w:bookmarkEnd w:id="15"/>
      <w:bookmarkEnd w:id="16"/>
      <w:bookmarkEnd w:id="17"/>
      <w:bookmarkEnd w:id="18"/>
    </w:p>
    <w:tbl>
      <w:tblPr>
        <w:tblW w:w="7675" w:type="dxa"/>
        <w:tblBorders>
          <w:top w:val="single" w:sz="4" w:space="0" w:color="auto"/>
          <w:bottom w:val="single" w:sz="4" w:space="0" w:color="auto"/>
          <w:insideH w:val="single" w:sz="4" w:space="0" w:color="auto"/>
        </w:tblBorders>
        <w:tblLayout w:type="fixed"/>
        <w:tblCellMar>
          <w:left w:w="115" w:type="dxa"/>
          <w:right w:w="115" w:type="dxa"/>
        </w:tblCellMar>
        <w:tblLook w:val="04A0" w:firstRow="1" w:lastRow="0" w:firstColumn="1" w:lastColumn="0" w:noHBand="0" w:noVBand="1"/>
      </w:tblPr>
      <w:tblGrid>
        <w:gridCol w:w="2558"/>
        <w:gridCol w:w="2558"/>
        <w:gridCol w:w="2559"/>
      </w:tblGrid>
      <w:tr w:rsidR="00203691" w:rsidRPr="00BA340B" w14:paraId="32FB987E" w14:textId="77777777" w:rsidTr="00F21FBA">
        <w:trPr>
          <w:cantSplit/>
          <w:tblHeader/>
        </w:trPr>
        <w:tc>
          <w:tcPr>
            <w:tcW w:w="2558" w:type="dxa"/>
            <w:tcBorders>
              <w:bottom w:val="single" w:sz="4" w:space="0" w:color="auto"/>
              <w:tl2br w:val="nil"/>
            </w:tcBorders>
            <w:vAlign w:val="center"/>
          </w:tcPr>
          <w:p w14:paraId="17D6C3F1" w14:textId="77777777" w:rsidR="00203691" w:rsidRPr="00BA340B" w:rsidRDefault="00203691" w:rsidP="00F21FBA">
            <w:pPr>
              <w:pStyle w:val="TableHead"/>
            </w:pPr>
            <w:r w:rsidRPr="00BA340B">
              <w:t>Multiply</w:t>
            </w:r>
          </w:p>
        </w:tc>
        <w:tc>
          <w:tcPr>
            <w:tcW w:w="2558" w:type="dxa"/>
            <w:tcBorders>
              <w:bottom w:val="single" w:sz="4" w:space="0" w:color="auto"/>
              <w:tl2br w:val="nil"/>
            </w:tcBorders>
            <w:vAlign w:val="center"/>
          </w:tcPr>
          <w:p w14:paraId="2527BFEE" w14:textId="77777777" w:rsidR="00203691" w:rsidRPr="00BA340B" w:rsidRDefault="00203691" w:rsidP="00F21FBA">
            <w:pPr>
              <w:pStyle w:val="TableHead"/>
              <w:tabs>
                <w:tab w:val="decimal" w:pos="495"/>
              </w:tabs>
            </w:pPr>
            <w:r w:rsidRPr="00BA340B">
              <w:t>By</w:t>
            </w:r>
          </w:p>
        </w:tc>
        <w:tc>
          <w:tcPr>
            <w:tcW w:w="2559" w:type="dxa"/>
            <w:tcBorders>
              <w:bottom w:val="single" w:sz="4" w:space="0" w:color="auto"/>
              <w:tl2br w:val="nil"/>
            </w:tcBorders>
            <w:vAlign w:val="center"/>
          </w:tcPr>
          <w:p w14:paraId="00FADCF7" w14:textId="77777777" w:rsidR="00203691" w:rsidRPr="00BA340B" w:rsidRDefault="00203691" w:rsidP="00F21FBA">
            <w:pPr>
              <w:pStyle w:val="TableHead"/>
            </w:pPr>
            <w:r w:rsidRPr="00BA340B">
              <w:t>To obtain</w:t>
            </w:r>
          </w:p>
        </w:tc>
      </w:tr>
      <w:tr w:rsidR="00203691" w:rsidRPr="00BA340B" w14:paraId="591BB79F" w14:textId="77777777" w:rsidTr="00F21FBA">
        <w:trPr>
          <w:cantSplit/>
        </w:trPr>
        <w:tc>
          <w:tcPr>
            <w:tcW w:w="7675" w:type="dxa"/>
            <w:gridSpan w:val="3"/>
            <w:tcBorders>
              <w:top w:val="single" w:sz="4" w:space="0" w:color="auto"/>
              <w:bottom w:val="single" w:sz="4" w:space="0" w:color="auto"/>
            </w:tcBorders>
            <w:vAlign w:val="center"/>
          </w:tcPr>
          <w:p w14:paraId="7915EC6B" w14:textId="77777777" w:rsidR="00203691" w:rsidRPr="002E2E3D" w:rsidRDefault="00203691" w:rsidP="00F21FBA">
            <w:pPr>
              <w:pStyle w:val="TableSpanner"/>
              <w:tabs>
                <w:tab w:val="decimal" w:pos="495"/>
              </w:tabs>
            </w:pPr>
            <w:r w:rsidRPr="002E2E3D">
              <w:t>Length</w:t>
            </w:r>
          </w:p>
        </w:tc>
      </w:tr>
      <w:tr w:rsidR="00203691" w:rsidRPr="00BA340B" w14:paraId="1C09FD94" w14:textId="77777777" w:rsidTr="00F21FBA">
        <w:trPr>
          <w:cantSplit/>
        </w:trPr>
        <w:tc>
          <w:tcPr>
            <w:tcW w:w="2558" w:type="dxa"/>
            <w:tcBorders>
              <w:bottom w:val="nil"/>
            </w:tcBorders>
          </w:tcPr>
          <w:p w14:paraId="176042D4" w14:textId="77777777" w:rsidR="00203691" w:rsidRPr="00BA340B" w:rsidRDefault="00203691" w:rsidP="00F21FBA">
            <w:pPr>
              <w:pStyle w:val="TableBody"/>
            </w:pPr>
            <w:r w:rsidRPr="00BA340B">
              <w:t>centimeter (cm)</w:t>
            </w:r>
          </w:p>
        </w:tc>
        <w:tc>
          <w:tcPr>
            <w:tcW w:w="2558" w:type="dxa"/>
            <w:tcBorders>
              <w:bottom w:val="nil"/>
            </w:tcBorders>
          </w:tcPr>
          <w:p w14:paraId="62F0805A" w14:textId="77777777" w:rsidR="00203691" w:rsidRPr="00BA340B" w:rsidRDefault="00203691" w:rsidP="00712B5C">
            <w:pPr>
              <w:pStyle w:val="TableBody"/>
            </w:pPr>
            <w:r w:rsidRPr="00BA340B">
              <w:t>0.3937</w:t>
            </w:r>
          </w:p>
        </w:tc>
        <w:tc>
          <w:tcPr>
            <w:tcW w:w="2559" w:type="dxa"/>
            <w:tcBorders>
              <w:bottom w:val="nil"/>
            </w:tcBorders>
          </w:tcPr>
          <w:p w14:paraId="3F78E585" w14:textId="77777777" w:rsidR="00203691" w:rsidRPr="00BA340B" w:rsidRDefault="00203691" w:rsidP="00F21FBA">
            <w:pPr>
              <w:pStyle w:val="TableBody"/>
            </w:pPr>
            <w:r w:rsidRPr="00BA340B">
              <w:t>inch (in.)</w:t>
            </w:r>
          </w:p>
        </w:tc>
      </w:tr>
      <w:tr w:rsidR="00203691" w:rsidRPr="00BA340B" w14:paraId="07C97321" w14:textId="77777777" w:rsidTr="00F21FBA">
        <w:trPr>
          <w:cantSplit/>
        </w:trPr>
        <w:tc>
          <w:tcPr>
            <w:tcW w:w="2558" w:type="dxa"/>
            <w:tcBorders>
              <w:top w:val="nil"/>
              <w:bottom w:val="nil"/>
            </w:tcBorders>
          </w:tcPr>
          <w:p w14:paraId="4651DD93" w14:textId="77777777" w:rsidR="00203691" w:rsidRPr="00BA340B" w:rsidRDefault="00203691" w:rsidP="00F21FBA">
            <w:pPr>
              <w:pStyle w:val="TableBody"/>
            </w:pPr>
            <w:proofErr w:type="gramStart"/>
            <w:r w:rsidRPr="00BA340B">
              <w:t>millimeter</w:t>
            </w:r>
            <w:proofErr w:type="gramEnd"/>
            <w:r w:rsidRPr="00BA340B">
              <w:t xml:space="preserve"> (mm)</w:t>
            </w:r>
          </w:p>
        </w:tc>
        <w:tc>
          <w:tcPr>
            <w:tcW w:w="2558" w:type="dxa"/>
            <w:tcBorders>
              <w:top w:val="nil"/>
              <w:bottom w:val="nil"/>
            </w:tcBorders>
          </w:tcPr>
          <w:p w14:paraId="4DAE1CD4" w14:textId="77777777" w:rsidR="00203691" w:rsidRPr="00BA340B" w:rsidRDefault="00203691" w:rsidP="00712B5C">
            <w:pPr>
              <w:pStyle w:val="TableBody"/>
            </w:pPr>
            <w:r w:rsidRPr="00BA340B">
              <w:t>0.03937</w:t>
            </w:r>
          </w:p>
        </w:tc>
        <w:tc>
          <w:tcPr>
            <w:tcW w:w="2559" w:type="dxa"/>
            <w:tcBorders>
              <w:top w:val="nil"/>
              <w:bottom w:val="nil"/>
            </w:tcBorders>
          </w:tcPr>
          <w:p w14:paraId="2B94D559" w14:textId="77777777" w:rsidR="00203691" w:rsidRPr="00BA340B" w:rsidRDefault="00203691" w:rsidP="00F21FBA">
            <w:pPr>
              <w:pStyle w:val="TableBody"/>
            </w:pPr>
            <w:r w:rsidRPr="00BA340B">
              <w:t>inch (in.)</w:t>
            </w:r>
          </w:p>
        </w:tc>
      </w:tr>
      <w:tr w:rsidR="00203691" w:rsidRPr="00BA340B" w14:paraId="0EDB2CA8" w14:textId="77777777" w:rsidTr="00F21FBA">
        <w:trPr>
          <w:cantSplit/>
        </w:trPr>
        <w:tc>
          <w:tcPr>
            <w:tcW w:w="2558" w:type="dxa"/>
            <w:tcBorders>
              <w:top w:val="nil"/>
              <w:bottom w:val="nil"/>
            </w:tcBorders>
          </w:tcPr>
          <w:p w14:paraId="56526A84" w14:textId="77777777" w:rsidR="00203691" w:rsidRPr="00BA340B" w:rsidRDefault="00203691" w:rsidP="00F21FBA">
            <w:pPr>
              <w:pStyle w:val="TableBody"/>
            </w:pPr>
            <w:r w:rsidRPr="00BA340B">
              <w:t>meter (m)</w:t>
            </w:r>
          </w:p>
        </w:tc>
        <w:tc>
          <w:tcPr>
            <w:tcW w:w="2558" w:type="dxa"/>
            <w:tcBorders>
              <w:top w:val="nil"/>
              <w:bottom w:val="nil"/>
            </w:tcBorders>
          </w:tcPr>
          <w:p w14:paraId="32CD2644" w14:textId="77777777" w:rsidR="00203691" w:rsidRPr="00BA340B" w:rsidRDefault="00203691" w:rsidP="00712B5C">
            <w:pPr>
              <w:pStyle w:val="TableBody"/>
            </w:pPr>
            <w:r w:rsidRPr="00BA340B">
              <w:t>3.281</w:t>
            </w:r>
          </w:p>
        </w:tc>
        <w:tc>
          <w:tcPr>
            <w:tcW w:w="2559" w:type="dxa"/>
            <w:tcBorders>
              <w:top w:val="nil"/>
              <w:bottom w:val="nil"/>
            </w:tcBorders>
          </w:tcPr>
          <w:p w14:paraId="0341D027" w14:textId="77777777" w:rsidR="00203691" w:rsidRPr="00BA340B" w:rsidRDefault="00203691" w:rsidP="00F21FBA">
            <w:pPr>
              <w:pStyle w:val="TableBody"/>
            </w:pPr>
            <w:r w:rsidRPr="00BA340B">
              <w:t xml:space="preserve">foot (ft) </w:t>
            </w:r>
          </w:p>
        </w:tc>
      </w:tr>
      <w:tr w:rsidR="00203691" w:rsidRPr="00BA340B" w14:paraId="4785389A" w14:textId="77777777" w:rsidTr="00F21FBA">
        <w:trPr>
          <w:cantSplit/>
        </w:trPr>
        <w:tc>
          <w:tcPr>
            <w:tcW w:w="2558" w:type="dxa"/>
            <w:tcBorders>
              <w:top w:val="nil"/>
              <w:bottom w:val="nil"/>
            </w:tcBorders>
          </w:tcPr>
          <w:p w14:paraId="094CDD43" w14:textId="77777777" w:rsidR="00203691" w:rsidRPr="00BA340B" w:rsidRDefault="00203691" w:rsidP="00F21FBA">
            <w:pPr>
              <w:pStyle w:val="TableBody"/>
            </w:pPr>
            <w:r w:rsidRPr="00BA340B">
              <w:t>kilometer (km)</w:t>
            </w:r>
          </w:p>
        </w:tc>
        <w:tc>
          <w:tcPr>
            <w:tcW w:w="2558" w:type="dxa"/>
            <w:tcBorders>
              <w:top w:val="nil"/>
              <w:bottom w:val="nil"/>
            </w:tcBorders>
          </w:tcPr>
          <w:p w14:paraId="64D10E9B" w14:textId="77777777" w:rsidR="00203691" w:rsidRPr="00BA340B" w:rsidRDefault="00203691" w:rsidP="00712B5C">
            <w:pPr>
              <w:pStyle w:val="TableBody"/>
            </w:pPr>
            <w:r w:rsidRPr="00BA340B">
              <w:t>0.6214</w:t>
            </w:r>
          </w:p>
        </w:tc>
        <w:tc>
          <w:tcPr>
            <w:tcW w:w="2559" w:type="dxa"/>
            <w:tcBorders>
              <w:top w:val="nil"/>
              <w:bottom w:val="nil"/>
            </w:tcBorders>
          </w:tcPr>
          <w:p w14:paraId="432A4426" w14:textId="77777777" w:rsidR="00203691" w:rsidRPr="00BA340B" w:rsidRDefault="00203691" w:rsidP="00F21FBA">
            <w:pPr>
              <w:pStyle w:val="TableBody"/>
            </w:pPr>
            <w:r w:rsidRPr="00BA340B">
              <w:t>mile (mi)</w:t>
            </w:r>
          </w:p>
        </w:tc>
      </w:tr>
      <w:tr w:rsidR="00203691" w:rsidRPr="00BA340B" w14:paraId="70C992B7" w14:textId="77777777" w:rsidTr="00F21FBA">
        <w:trPr>
          <w:cantSplit/>
        </w:trPr>
        <w:tc>
          <w:tcPr>
            <w:tcW w:w="2558" w:type="dxa"/>
            <w:tcBorders>
              <w:top w:val="nil"/>
              <w:bottom w:val="nil"/>
            </w:tcBorders>
          </w:tcPr>
          <w:p w14:paraId="5CD93AC5" w14:textId="77777777" w:rsidR="00203691" w:rsidRPr="00BA340B" w:rsidRDefault="00203691" w:rsidP="00F21FBA">
            <w:pPr>
              <w:pStyle w:val="TableBody"/>
            </w:pPr>
            <w:r w:rsidRPr="00BA340B">
              <w:t>kilometer (km)</w:t>
            </w:r>
          </w:p>
        </w:tc>
        <w:tc>
          <w:tcPr>
            <w:tcW w:w="2558" w:type="dxa"/>
            <w:tcBorders>
              <w:top w:val="nil"/>
              <w:bottom w:val="nil"/>
            </w:tcBorders>
          </w:tcPr>
          <w:p w14:paraId="14B074B5" w14:textId="77777777" w:rsidR="00203691" w:rsidRPr="00BA340B" w:rsidRDefault="00203691" w:rsidP="00712B5C">
            <w:pPr>
              <w:pStyle w:val="TableBody"/>
            </w:pPr>
            <w:r w:rsidRPr="00BA340B">
              <w:t>0.5400</w:t>
            </w:r>
          </w:p>
        </w:tc>
        <w:tc>
          <w:tcPr>
            <w:tcW w:w="2559" w:type="dxa"/>
            <w:tcBorders>
              <w:top w:val="nil"/>
              <w:bottom w:val="nil"/>
            </w:tcBorders>
          </w:tcPr>
          <w:p w14:paraId="5079EEC3" w14:textId="77777777" w:rsidR="00203691" w:rsidRPr="00BA340B" w:rsidRDefault="00203691" w:rsidP="00F21FBA">
            <w:pPr>
              <w:pStyle w:val="TableBody"/>
            </w:pPr>
            <w:r w:rsidRPr="00BA340B">
              <w:t>mile, nautical (</w:t>
            </w:r>
            <w:proofErr w:type="spellStart"/>
            <w:r w:rsidRPr="00BA340B">
              <w:t>nmi</w:t>
            </w:r>
            <w:proofErr w:type="spellEnd"/>
            <w:r w:rsidRPr="00BA340B">
              <w:t xml:space="preserve">) </w:t>
            </w:r>
          </w:p>
        </w:tc>
      </w:tr>
      <w:tr w:rsidR="00203691" w:rsidRPr="00BA340B" w14:paraId="7FCBAFD5" w14:textId="77777777" w:rsidTr="00F21FBA">
        <w:trPr>
          <w:cantSplit/>
        </w:trPr>
        <w:tc>
          <w:tcPr>
            <w:tcW w:w="2558" w:type="dxa"/>
            <w:tcBorders>
              <w:top w:val="nil"/>
            </w:tcBorders>
          </w:tcPr>
          <w:p w14:paraId="000E7B8F" w14:textId="77777777" w:rsidR="00203691" w:rsidRPr="00BA340B" w:rsidRDefault="00203691" w:rsidP="00F21FBA">
            <w:pPr>
              <w:pStyle w:val="TableBody"/>
            </w:pPr>
            <w:r w:rsidRPr="00BA340B">
              <w:t>meter (m)</w:t>
            </w:r>
          </w:p>
        </w:tc>
        <w:tc>
          <w:tcPr>
            <w:tcW w:w="2558" w:type="dxa"/>
            <w:tcBorders>
              <w:top w:val="nil"/>
            </w:tcBorders>
          </w:tcPr>
          <w:p w14:paraId="46A6C0D7" w14:textId="77777777" w:rsidR="00203691" w:rsidRPr="00BA340B" w:rsidRDefault="00203691" w:rsidP="00712B5C">
            <w:pPr>
              <w:pStyle w:val="TableBody"/>
            </w:pPr>
            <w:r w:rsidRPr="00BA340B">
              <w:t>1.094</w:t>
            </w:r>
          </w:p>
        </w:tc>
        <w:tc>
          <w:tcPr>
            <w:tcW w:w="2559" w:type="dxa"/>
            <w:tcBorders>
              <w:top w:val="nil"/>
            </w:tcBorders>
          </w:tcPr>
          <w:p w14:paraId="0640D22D" w14:textId="77777777" w:rsidR="00203691" w:rsidRPr="00BA340B" w:rsidRDefault="00203691" w:rsidP="00F21FBA">
            <w:pPr>
              <w:pStyle w:val="TableBody"/>
            </w:pPr>
            <w:r w:rsidRPr="00BA340B">
              <w:t xml:space="preserve">yard (yd) </w:t>
            </w:r>
          </w:p>
        </w:tc>
      </w:tr>
      <w:tr w:rsidR="00203691" w:rsidRPr="00BA340B" w14:paraId="6BE09E2F" w14:textId="77777777" w:rsidTr="00F21FBA">
        <w:trPr>
          <w:cantSplit/>
        </w:trPr>
        <w:tc>
          <w:tcPr>
            <w:tcW w:w="7675" w:type="dxa"/>
            <w:gridSpan w:val="3"/>
            <w:tcBorders>
              <w:bottom w:val="single" w:sz="4" w:space="0" w:color="auto"/>
            </w:tcBorders>
            <w:vAlign w:val="center"/>
          </w:tcPr>
          <w:p w14:paraId="44257404" w14:textId="77777777" w:rsidR="00203691" w:rsidRPr="002E2E3D" w:rsidRDefault="00203691" w:rsidP="00F21FBA">
            <w:pPr>
              <w:pStyle w:val="TableSpanner"/>
              <w:tabs>
                <w:tab w:val="decimal" w:pos="495"/>
              </w:tabs>
            </w:pPr>
            <w:r w:rsidRPr="002E2E3D">
              <w:t>Area</w:t>
            </w:r>
          </w:p>
        </w:tc>
      </w:tr>
      <w:tr w:rsidR="00203691" w:rsidRPr="00BA340B" w14:paraId="64C939A8" w14:textId="77777777" w:rsidTr="00F21FBA">
        <w:trPr>
          <w:cantSplit/>
        </w:trPr>
        <w:tc>
          <w:tcPr>
            <w:tcW w:w="2558" w:type="dxa"/>
            <w:tcBorders>
              <w:bottom w:val="nil"/>
            </w:tcBorders>
          </w:tcPr>
          <w:p w14:paraId="23215E06" w14:textId="77777777" w:rsidR="00203691" w:rsidRPr="00BA340B" w:rsidRDefault="00203691" w:rsidP="00F21FBA">
            <w:pPr>
              <w:pStyle w:val="TableBody"/>
            </w:pPr>
            <w:r w:rsidRPr="00BA340B">
              <w:t xml:space="preserve">square </w:t>
            </w:r>
            <w:proofErr w:type="gramStart"/>
            <w:r w:rsidRPr="00BA340B">
              <w:t>meter</w:t>
            </w:r>
            <w:proofErr w:type="gramEnd"/>
            <w:r w:rsidRPr="00BA340B">
              <w:t xml:space="preserve"> (m</w:t>
            </w:r>
            <w:r w:rsidRPr="0003326A">
              <w:rPr>
                <w:vertAlign w:val="superscript"/>
              </w:rPr>
              <w:t>2</w:t>
            </w:r>
            <w:r w:rsidRPr="00BA340B">
              <w:t>)</w:t>
            </w:r>
          </w:p>
        </w:tc>
        <w:tc>
          <w:tcPr>
            <w:tcW w:w="2558" w:type="dxa"/>
            <w:tcBorders>
              <w:bottom w:val="nil"/>
            </w:tcBorders>
          </w:tcPr>
          <w:p w14:paraId="5220C3DA" w14:textId="77777777" w:rsidR="00203691" w:rsidRPr="00BA340B" w:rsidRDefault="00203691" w:rsidP="00712B5C">
            <w:pPr>
              <w:pStyle w:val="TableBody"/>
            </w:pPr>
            <w:r w:rsidRPr="00BA340B">
              <w:t>0.0002471</w:t>
            </w:r>
          </w:p>
        </w:tc>
        <w:tc>
          <w:tcPr>
            <w:tcW w:w="2559" w:type="dxa"/>
            <w:tcBorders>
              <w:bottom w:val="nil"/>
            </w:tcBorders>
          </w:tcPr>
          <w:p w14:paraId="4E065A76" w14:textId="77777777" w:rsidR="00203691" w:rsidRPr="00BA340B" w:rsidRDefault="00203691" w:rsidP="00F21FBA">
            <w:pPr>
              <w:pStyle w:val="TableBody"/>
            </w:pPr>
            <w:r w:rsidRPr="00BA340B">
              <w:t xml:space="preserve">acre </w:t>
            </w:r>
          </w:p>
        </w:tc>
      </w:tr>
      <w:tr w:rsidR="00203691" w:rsidRPr="00BA340B" w14:paraId="2B90484E" w14:textId="77777777" w:rsidTr="00F21FBA">
        <w:trPr>
          <w:cantSplit/>
        </w:trPr>
        <w:tc>
          <w:tcPr>
            <w:tcW w:w="2558" w:type="dxa"/>
            <w:tcBorders>
              <w:top w:val="nil"/>
              <w:bottom w:val="nil"/>
            </w:tcBorders>
          </w:tcPr>
          <w:p w14:paraId="16B5C53D" w14:textId="77777777" w:rsidR="00203691" w:rsidRPr="00BA340B" w:rsidRDefault="00203691" w:rsidP="00F21FBA">
            <w:pPr>
              <w:pStyle w:val="TableBody"/>
            </w:pPr>
            <w:r w:rsidRPr="00BA340B">
              <w:t>hectare (ha)</w:t>
            </w:r>
          </w:p>
        </w:tc>
        <w:tc>
          <w:tcPr>
            <w:tcW w:w="2558" w:type="dxa"/>
            <w:tcBorders>
              <w:top w:val="nil"/>
              <w:bottom w:val="nil"/>
            </w:tcBorders>
          </w:tcPr>
          <w:p w14:paraId="565C7B84" w14:textId="77777777" w:rsidR="00203691" w:rsidRPr="00BA340B" w:rsidRDefault="00203691" w:rsidP="00712B5C">
            <w:pPr>
              <w:pStyle w:val="TableBody"/>
            </w:pPr>
            <w:r w:rsidRPr="00BA340B">
              <w:t>2.471</w:t>
            </w:r>
          </w:p>
        </w:tc>
        <w:tc>
          <w:tcPr>
            <w:tcW w:w="2559" w:type="dxa"/>
            <w:tcBorders>
              <w:top w:val="nil"/>
              <w:bottom w:val="nil"/>
            </w:tcBorders>
          </w:tcPr>
          <w:p w14:paraId="34FB664C" w14:textId="77777777" w:rsidR="00203691" w:rsidRPr="00BA340B" w:rsidRDefault="00203691" w:rsidP="00F21FBA">
            <w:pPr>
              <w:pStyle w:val="TableBody"/>
            </w:pPr>
            <w:r w:rsidRPr="00BA340B">
              <w:t>acre</w:t>
            </w:r>
          </w:p>
        </w:tc>
      </w:tr>
      <w:tr w:rsidR="00203691" w:rsidRPr="00BA340B" w14:paraId="18F9D717" w14:textId="77777777" w:rsidTr="00F21FBA">
        <w:trPr>
          <w:cantSplit/>
        </w:trPr>
        <w:tc>
          <w:tcPr>
            <w:tcW w:w="2558" w:type="dxa"/>
            <w:tcBorders>
              <w:top w:val="nil"/>
              <w:bottom w:val="nil"/>
            </w:tcBorders>
          </w:tcPr>
          <w:p w14:paraId="593291E1" w14:textId="77777777" w:rsidR="00203691" w:rsidRPr="00BA340B" w:rsidRDefault="00203691" w:rsidP="00F21FBA">
            <w:pPr>
              <w:pStyle w:val="TableBody"/>
            </w:pPr>
            <w:r w:rsidRPr="00BA340B">
              <w:t>square hectometer (hm</w:t>
            </w:r>
            <w:r w:rsidRPr="0003326A">
              <w:rPr>
                <w:vertAlign w:val="superscript"/>
              </w:rPr>
              <w:t>2</w:t>
            </w:r>
            <w:r w:rsidRPr="00BA340B">
              <w:t>)</w:t>
            </w:r>
          </w:p>
        </w:tc>
        <w:tc>
          <w:tcPr>
            <w:tcW w:w="2558" w:type="dxa"/>
            <w:tcBorders>
              <w:top w:val="nil"/>
              <w:bottom w:val="nil"/>
            </w:tcBorders>
          </w:tcPr>
          <w:p w14:paraId="041351C3" w14:textId="77777777" w:rsidR="00203691" w:rsidRPr="00BA340B" w:rsidRDefault="00203691" w:rsidP="00712B5C">
            <w:pPr>
              <w:pStyle w:val="TableBody"/>
            </w:pPr>
            <w:r w:rsidRPr="00BA340B">
              <w:t>2.471</w:t>
            </w:r>
          </w:p>
        </w:tc>
        <w:tc>
          <w:tcPr>
            <w:tcW w:w="2559" w:type="dxa"/>
            <w:tcBorders>
              <w:top w:val="nil"/>
              <w:bottom w:val="nil"/>
            </w:tcBorders>
          </w:tcPr>
          <w:p w14:paraId="74346454" w14:textId="77777777" w:rsidR="00203691" w:rsidRPr="00BA340B" w:rsidRDefault="00203691" w:rsidP="00F21FBA">
            <w:pPr>
              <w:pStyle w:val="TableBody"/>
            </w:pPr>
            <w:r w:rsidRPr="00BA340B">
              <w:t>acre</w:t>
            </w:r>
          </w:p>
        </w:tc>
      </w:tr>
      <w:tr w:rsidR="00203691" w:rsidRPr="00BA340B" w14:paraId="3F7CDC71" w14:textId="77777777" w:rsidTr="00F21FBA">
        <w:trPr>
          <w:cantSplit/>
        </w:trPr>
        <w:tc>
          <w:tcPr>
            <w:tcW w:w="2558" w:type="dxa"/>
            <w:tcBorders>
              <w:top w:val="nil"/>
              <w:bottom w:val="nil"/>
            </w:tcBorders>
          </w:tcPr>
          <w:p w14:paraId="43BD4879" w14:textId="77777777" w:rsidR="00203691" w:rsidRPr="00BA340B" w:rsidRDefault="00203691" w:rsidP="00F21FBA">
            <w:pPr>
              <w:pStyle w:val="TableBody"/>
            </w:pPr>
            <w:r w:rsidRPr="00BA340B">
              <w:t>square kilometer (km</w:t>
            </w:r>
            <w:r w:rsidRPr="0003326A">
              <w:rPr>
                <w:vertAlign w:val="superscript"/>
              </w:rPr>
              <w:t>2</w:t>
            </w:r>
            <w:r w:rsidRPr="00BA340B">
              <w:t>)</w:t>
            </w:r>
          </w:p>
        </w:tc>
        <w:tc>
          <w:tcPr>
            <w:tcW w:w="2558" w:type="dxa"/>
            <w:tcBorders>
              <w:top w:val="nil"/>
              <w:bottom w:val="nil"/>
            </w:tcBorders>
          </w:tcPr>
          <w:p w14:paraId="4F922FDC" w14:textId="77777777" w:rsidR="00203691" w:rsidRPr="00BA340B" w:rsidRDefault="00203691" w:rsidP="00712B5C">
            <w:pPr>
              <w:pStyle w:val="TableBody"/>
            </w:pPr>
            <w:r w:rsidRPr="00BA340B">
              <w:t>247.1</w:t>
            </w:r>
          </w:p>
        </w:tc>
        <w:tc>
          <w:tcPr>
            <w:tcW w:w="2559" w:type="dxa"/>
            <w:tcBorders>
              <w:top w:val="nil"/>
              <w:bottom w:val="nil"/>
            </w:tcBorders>
          </w:tcPr>
          <w:p w14:paraId="3642E5F6" w14:textId="77777777" w:rsidR="00203691" w:rsidRPr="00BA340B" w:rsidRDefault="00203691" w:rsidP="00F21FBA">
            <w:pPr>
              <w:pStyle w:val="TableBody"/>
            </w:pPr>
            <w:r w:rsidRPr="00BA340B">
              <w:t>acre</w:t>
            </w:r>
          </w:p>
        </w:tc>
      </w:tr>
      <w:tr w:rsidR="00203691" w:rsidRPr="00BA340B" w14:paraId="3F372009" w14:textId="77777777" w:rsidTr="00F21FBA">
        <w:trPr>
          <w:cantSplit/>
        </w:trPr>
        <w:tc>
          <w:tcPr>
            <w:tcW w:w="2558" w:type="dxa"/>
            <w:tcBorders>
              <w:top w:val="nil"/>
              <w:bottom w:val="nil"/>
            </w:tcBorders>
          </w:tcPr>
          <w:p w14:paraId="3421BF3B" w14:textId="77777777" w:rsidR="00203691" w:rsidRPr="00BA340B" w:rsidRDefault="00203691" w:rsidP="00F21FBA">
            <w:pPr>
              <w:pStyle w:val="TableBody"/>
            </w:pPr>
            <w:r w:rsidRPr="00BA340B">
              <w:t>square centimeter (cm</w:t>
            </w:r>
            <w:r w:rsidRPr="0003326A">
              <w:rPr>
                <w:vertAlign w:val="superscript"/>
              </w:rPr>
              <w:t>2</w:t>
            </w:r>
            <w:r w:rsidRPr="00BA340B">
              <w:t>)</w:t>
            </w:r>
          </w:p>
        </w:tc>
        <w:tc>
          <w:tcPr>
            <w:tcW w:w="2558" w:type="dxa"/>
            <w:tcBorders>
              <w:top w:val="nil"/>
              <w:bottom w:val="nil"/>
            </w:tcBorders>
          </w:tcPr>
          <w:p w14:paraId="0DB20EA8" w14:textId="77777777" w:rsidR="00203691" w:rsidRPr="00BA340B" w:rsidRDefault="00203691" w:rsidP="00712B5C">
            <w:pPr>
              <w:pStyle w:val="TableBody"/>
            </w:pPr>
            <w:r w:rsidRPr="00BA340B">
              <w:t>0.001076</w:t>
            </w:r>
          </w:p>
        </w:tc>
        <w:tc>
          <w:tcPr>
            <w:tcW w:w="2559" w:type="dxa"/>
            <w:tcBorders>
              <w:top w:val="nil"/>
              <w:bottom w:val="nil"/>
            </w:tcBorders>
          </w:tcPr>
          <w:p w14:paraId="02E8FCCE" w14:textId="77777777" w:rsidR="00203691" w:rsidRPr="00BA340B" w:rsidRDefault="00203691" w:rsidP="00F21FBA">
            <w:pPr>
              <w:pStyle w:val="TableBody"/>
            </w:pPr>
            <w:r w:rsidRPr="00BA340B">
              <w:t>square foot (ft</w:t>
            </w:r>
            <w:r w:rsidRPr="0003326A">
              <w:rPr>
                <w:vertAlign w:val="superscript"/>
              </w:rPr>
              <w:t>2</w:t>
            </w:r>
            <w:r w:rsidRPr="00BA340B">
              <w:t>)</w:t>
            </w:r>
          </w:p>
        </w:tc>
      </w:tr>
      <w:tr w:rsidR="00203691" w:rsidRPr="00BA340B" w14:paraId="326A93EF" w14:textId="77777777" w:rsidTr="00F21FBA">
        <w:trPr>
          <w:cantSplit/>
        </w:trPr>
        <w:tc>
          <w:tcPr>
            <w:tcW w:w="2558" w:type="dxa"/>
            <w:tcBorders>
              <w:top w:val="nil"/>
              <w:bottom w:val="nil"/>
            </w:tcBorders>
          </w:tcPr>
          <w:p w14:paraId="40D4D1C3" w14:textId="77777777" w:rsidR="00203691" w:rsidRPr="00BA340B" w:rsidRDefault="00203691" w:rsidP="00F21FBA">
            <w:pPr>
              <w:pStyle w:val="TableBody"/>
            </w:pPr>
            <w:r w:rsidRPr="00BA340B">
              <w:t xml:space="preserve">square </w:t>
            </w:r>
            <w:proofErr w:type="gramStart"/>
            <w:r w:rsidRPr="00BA340B">
              <w:t>meter</w:t>
            </w:r>
            <w:proofErr w:type="gramEnd"/>
            <w:r w:rsidRPr="00BA340B">
              <w:t xml:space="preserve"> (m</w:t>
            </w:r>
            <w:r w:rsidRPr="0003326A">
              <w:rPr>
                <w:vertAlign w:val="superscript"/>
              </w:rPr>
              <w:t>2</w:t>
            </w:r>
            <w:r w:rsidRPr="00BA340B">
              <w:t>)</w:t>
            </w:r>
          </w:p>
        </w:tc>
        <w:tc>
          <w:tcPr>
            <w:tcW w:w="2558" w:type="dxa"/>
            <w:tcBorders>
              <w:top w:val="nil"/>
              <w:bottom w:val="nil"/>
            </w:tcBorders>
          </w:tcPr>
          <w:p w14:paraId="3F80042D" w14:textId="77777777" w:rsidR="00203691" w:rsidRPr="00BA340B" w:rsidRDefault="00203691" w:rsidP="00712B5C">
            <w:pPr>
              <w:pStyle w:val="TableBody"/>
            </w:pPr>
            <w:r w:rsidRPr="00BA340B">
              <w:t>10.76</w:t>
            </w:r>
          </w:p>
        </w:tc>
        <w:tc>
          <w:tcPr>
            <w:tcW w:w="2559" w:type="dxa"/>
            <w:tcBorders>
              <w:top w:val="nil"/>
              <w:bottom w:val="nil"/>
            </w:tcBorders>
          </w:tcPr>
          <w:p w14:paraId="2D2D0020" w14:textId="77777777" w:rsidR="00203691" w:rsidRPr="00BA340B" w:rsidRDefault="00203691" w:rsidP="00F21FBA">
            <w:pPr>
              <w:pStyle w:val="TableBody"/>
            </w:pPr>
            <w:r w:rsidRPr="00BA340B">
              <w:t>square foot (ft</w:t>
            </w:r>
            <w:r w:rsidRPr="0003326A">
              <w:rPr>
                <w:vertAlign w:val="superscript"/>
              </w:rPr>
              <w:t>2</w:t>
            </w:r>
            <w:r w:rsidRPr="00BA340B">
              <w:t xml:space="preserve">) </w:t>
            </w:r>
          </w:p>
        </w:tc>
      </w:tr>
      <w:tr w:rsidR="00203691" w:rsidRPr="00BA340B" w14:paraId="35536982" w14:textId="77777777" w:rsidTr="00F21FBA">
        <w:trPr>
          <w:cantSplit/>
        </w:trPr>
        <w:tc>
          <w:tcPr>
            <w:tcW w:w="2558" w:type="dxa"/>
            <w:tcBorders>
              <w:top w:val="nil"/>
              <w:bottom w:val="nil"/>
            </w:tcBorders>
          </w:tcPr>
          <w:p w14:paraId="3DB9F62A" w14:textId="77777777" w:rsidR="00203691" w:rsidRPr="00BA340B" w:rsidRDefault="00203691" w:rsidP="00F21FBA">
            <w:pPr>
              <w:pStyle w:val="TableBody"/>
            </w:pPr>
            <w:r w:rsidRPr="00BA340B">
              <w:t>square centimeter (cm</w:t>
            </w:r>
            <w:r w:rsidRPr="0003326A">
              <w:rPr>
                <w:vertAlign w:val="superscript"/>
              </w:rPr>
              <w:t>2</w:t>
            </w:r>
            <w:r w:rsidRPr="00BA340B">
              <w:t>)</w:t>
            </w:r>
          </w:p>
        </w:tc>
        <w:tc>
          <w:tcPr>
            <w:tcW w:w="2558" w:type="dxa"/>
            <w:tcBorders>
              <w:top w:val="nil"/>
              <w:bottom w:val="nil"/>
            </w:tcBorders>
          </w:tcPr>
          <w:p w14:paraId="222587E5" w14:textId="77777777" w:rsidR="00203691" w:rsidRPr="00BA340B" w:rsidRDefault="00203691" w:rsidP="00712B5C">
            <w:pPr>
              <w:pStyle w:val="TableBody"/>
            </w:pPr>
            <w:r w:rsidRPr="00BA340B">
              <w:t>0.1550</w:t>
            </w:r>
          </w:p>
        </w:tc>
        <w:tc>
          <w:tcPr>
            <w:tcW w:w="2559" w:type="dxa"/>
            <w:tcBorders>
              <w:top w:val="nil"/>
              <w:bottom w:val="nil"/>
            </w:tcBorders>
          </w:tcPr>
          <w:p w14:paraId="14DB1F7B" w14:textId="77777777" w:rsidR="00203691" w:rsidRPr="00BA340B" w:rsidRDefault="00203691" w:rsidP="00F21FBA">
            <w:pPr>
              <w:pStyle w:val="TableBody"/>
            </w:pPr>
            <w:r w:rsidRPr="00BA340B">
              <w:t>square inch (</w:t>
            </w:r>
            <w:r>
              <w:t>in</w:t>
            </w:r>
            <w:r w:rsidRPr="0003326A">
              <w:rPr>
                <w:vertAlign w:val="superscript"/>
              </w:rPr>
              <w:t>2</w:t>
            </w:r>
            <w:r w:rsidRPr="00BA340B">
              <w:t xml:space="preserve">) </w:t>
            </w:r>
          </w:p>
        </w:tc>
      </w:tr>
      <w:tr w:rsidR="00203691" w:rsidRPr="00BA340B" w14:paraId="492E2F92" w14:textId="77777777" w:rsidTr="00F21FBA">
        <w:trPr>
          <w:cantSplit/>
        </w:trPr>
        <w:tc>
          <w:tcPr>
            <w:tcW w:w="2558" w:type="dxa"/>
            <w:tcBorders>
              <w:top w:val="nil"/>
              <w:bottom w:val="nil"/>
            </w:tcBorders>
          </w:tcPr>
          <w:p w14:paraId="5C036010" w14:textId="77777777" w:rsidR="00203691" w:rsidRPr="00BA340B" w:rsidRDefault="00203691" w:rsidP="00F21FBA">
            <w:pPr>
              <w:pStyle w:val="TableBody"/>
            </w:pPr>
            <w:r w:rsidRPr="00BA340B">
              <w:t>square hectometer (hm</w:t>
            </w:r>
            <w:r w:rsidRPr="0003326A">
              <w:rPr>
                <w:vertAlign w:val="superscript"/>
              </w:rPr>
              <w:t>2</w:t>
            </w:r>
            <w:r w:rsidRPr="00BA340B">
              <w:t>)</w:t>
            </w:r>
          </w:p>
        </w:tc>
        <w:tc>
          <w:tcPr>
            <w:tcW w:w="2558" w:type="dxa"/>
            <w:tcBorders>
              <w:top w:val="nil"/>
              <w:bottom w:val="nil"/>
            </w:tcBorders>
          </w:tcPr>
          <w:p w14:paraId="08893CBA" w14:textId="77777777" w:rsidR="00203691" w:rsidRPr="00BA340B" w:rsidRDefault="00203691" w:rsidP="00712B5C">
            <w:pPr>
              <w:pStyle w:val="TableBody"/>
            </w:pPr>
            <w:r w:rsidRPr="00BA340B">
              <w:t>0.003861</w:t>
            </w:r>
          </w:p>
        </w:tc>
        <w:tc>
          <w:tcPr>
            <w:tcW w:w="2559" w:type="dxa"/>
            <w:tcBorders>
              <w:top w:val="nil"/>
              <w:bottom w:val="nil"/>
            </w:tcBorders>
          </w:tcPr>
          <w:p w14:paraId="13EB692A" w14:textId="77777777" w:rsidR="00203691" w:rsidRPr="00BA340B" w:rsidRDefault="00203691" w:rsidP="00F21FBA">
            <w:pPr>
              <w:pStyle w:val="TableBody"/>
            </w:pPr>
            <w:r w:rsidRPr="00BA340B">
              <w:t>section (640 acres or 1 square mile)</w:t>
            </w:r>
          </w:p>
        </w:tc>
      </w:tr>
      <w:tr w:rsidR="00203691" w:rsidRPr="00BA340B" w14:paraId="7C250B7B" w14:textId="77777777" w:rsidTr="00F21FBA">
        <w:trPr>
          <w:cantSplit/>
        </w:trPr>
        <w:tc>
          <w:tcPr>
            <w:tcW w:w="2558" w:type="dxa"/>
            <w:tcBorders>
              <w:top w:val="nil"/>
              <w:bottom w:val="nil"/>
            </w:tcBorders>
          </w:tcPr>
          <w:p w14:paraId="0BE3E08A" w14:textId="77777777" w:rsidR="00203691" w:rsidRPr="00BA340B" w:rsidRDefault="00203691" w:rsidP="00F21FBA">
            <w:pPr>
              <w:pStyle w:val="TableBody"/>
            </w:pPr>
            <w:r w:rsidRPr="00BA340B">
              <w:t>hectare (ha)</w:t>
            </w:r>
          </w:p>
        </w:tc>
        <w:tc>
          <w:tcPr>
            <w:tcW w:w="2558" w:type="dxa"/>
            <w:tcBorders>
              <w:top w:val="nil"/>
              <w:bottom w:val="nil"/>
            </w:tcBorders>
          </w:tcPr>
          <w:p w14:paraId="4029C235" w14:textId="77777777" w:rsidR="00203691" w:rsidRPr="00BA340B" w:rsidRDefault="00203691" w:rsidP="00712B5C">
            <w:pPr>
              <w:pStyle w:val="TableBody"/>
            </w:pPr>
            <w:r w:rsidRPr="00BA340B">
              <w:t>0.003861</w:t>
            </w:r>
          </w:p>
        </w:tc>
        <w:tc>
          <w:tcPr>
            <w:tcW w:w="2559" w:type="dxa"/>
            <w:tcBorders>
              <w:top w:val="nil"/>
              <w:bottom w:val="nil"/>
            </w:tcBorders>
          </w:tcPr>
          <w:p w14:paraId="1D0C4E50" w14:textId="77777777" w:rsidR="00203691" w:rsidRPr="00BA340B" w:rsidRDefault="00203691" w:rsidP="00F21FBA">
            <w:pPr>
              <w:pStyle w:val="TableBody"/>
            </w:pPr>
            <w:r w:rsidRPr="00BA340B">
              <w:t>square mile (mi</w:t>
            </w:r>
            <w:r w:rsidRPr="0003326A">
              <w:rPr>
                <w:vertAlign w:val="superscript"/>
              </w:rPr>
              <w:t>2</w:t>
            </w:r>
            <w:r w:rsidRPr="00BA340B">
              <w:t xml:space="preserve">) </w:t>
            </w:r>
          </w:p>
        </w:tc>
      </w:tr>
      <w:tr w:rsidR="00203691" w:rsidRPr="00BA340B" w14:paraId="1BE7B1B8" w14:textId="77777777" w:rsidTr="00F21FBA">
        <w:trPr>
          <w:cantSplit/>
        </w:trPr>
        <w:tc>
          <w:tcPr>
            <w:tcW w:w="2558" w:type="dxa"/>
            <w:tcBorders>
              <w:top w:val="nil"/>
            </w:tcBorders>
          </w:tcPr>
          <w:p w14:paraId="34366545" w14:textId="77777777" w:rsidR="00203691" w:rsidRPr="00BA340B" w:rsidRDefault="00203691" w:rsidP="00F21FBA">
            <w:pPr>
              <w:pStyle w:val="TableBody"/>
            </w:pPr>
            <w:r w:rsidRPr="00BA340B">
              <w:t>square kilometer (km</w:t>
            </w:r>
            <w:r w:rsidRPr="0003326A">
              <w:rPr>
                <w:vertAlign w:val="superscript"/>
              </w:rPr>
              <w:t>2</w:t>
            </w:r>
            <w:r w:rsidRPr="00BA340B">
              <w:t>)</w:t>
            </w:r>
          </w:p>
        </w:tc>
        <w:tc>
          <w:tcPr>
            <w:tcW w:w="2558" w:type="dxa"/>
            <w:tcBorders>
              <w:top w:val="nil"/>
            </w:tcBorders>
          </w:tcPr>
          <w:p w14:paraId="25D7DE03" w14:textId="77777777" w:rsidR="00203691" w:rsidRPr="00BA340B" w:rsidRDefault="00203691" w:rsidP="00712B5C">
            <w:pPr>
              <w:pStyle w:val="TableBody"/>
            </w:pPr>
            <w:r w:rsidRPr="00BA340B">
              <w:t>0.3861</w:t>
            </w:r>
          </w:p>
        </w:tc>
        <w:tc>
          <w:tcPr>
            <w:tcW w:w="2559" w:type="dxa"/>
            <w:tcBorders>
              <w:top w:val="nil"/>
            </w:tcBorders>
          </w:tcPr>
          <w:p w14:paraId="656CD9AD" w14:textId="77777777" w:rsidR="00203691" w:rsidRPr="00BA340B" w:rsidRDefault="00203691" w:rsidP="00F21FBA">
            <w:pPr>
              <w:pStyle w:val="TableBody"/>
            </w:pPr>
            <w:r w:rsidRPr="00BA340B">
              <w:t>square mile (mi</w:t>
            </w:r>
            <w:r w:rsidRPr="0003326A">
              <w:rPr>
                <w:vertAlign w:val="superscript"/>
              </w:rPr>
              <w:t>2</w:t>
            </w:r>
            <w:r w:rsidRPr="00BA340B">
              <w:t>)</w:t>
            </w:r>
          </w:p>
        </w:tc>
      </w:tr>
      <w:tr w:rsidR="00203691" w:rsidRPr="00BA340B" w14:paraId="79CC55EA" w14:textId="77777777" w:rsidTr="00F21FBA">
        <w:trPr>
          <w:cantSplit/>
        </w:trPr>
        <w:tc>
          <w:tcPr>
            <w:tcW w:w="7675" w:type="dxa"/>
            <w:gridSpan w:val="3"/>
            <w:tcBorders>
              <w:bottom w:val="single" w:sz="4" w:space="0" w:color="auto"/>
            </w:tcBorders>
            <w:vAlign w:val="center"/>
          </w:tcPr>
          <w:p w14:paraId="22999A97" w14:textId="77777777" w:rsidR="00203691" w:rsidRPr="002E2E3D" w:rsidRDefault="00203691" w:rsidP="00F21FBA">
            <w:pPr>
              <w:pStyle w:val="TableSpanner"/>
              <w:tabs>
                <w:tab w:val="decimal" w:pos="495"/>
              </w:tabs>
            </w:pPr>
            <w:r w:rsidRPr="002E2E3D">
              <w:t>Volume</w:t>
            </w:r>
          </w:p>
        </w:tc>
      </w:tr>
      <w:tr w:rsidR="00203691" w:rsidRPr="00BA340B" w14:paraId="6CC1BDA0" w14:textId="77777777" w:rsidTr="00F21FBA">
        <w:trPr>
          <w:cantSplit/>
        </w:trPr>
        <w:tc>
          <w:tcPr>
            <w:tcW w:w="2558" w:type="dxa"/>
            <w:tcBorders>
              <w:bottom w:val="nil"/>
            </w:tcBorders>
          </w:tcPr>
          <w:p w14:paraId="2F08E1A7" w14:textId="77777777" w:rsidR="00203691" w:rsidRPr="00BA340B" w:rsidRDefault="00203691" w:rsidP="00F21FBA">
            <w:pPr>
              <w:pStyle w:val="TableBody"/>
            </w:pPr>
            <w:r w:rsidRPr="00BA340B">
              <w:t>cubic meter (m</w:t>
            </w:r>
            <w:r w:rsidRPr="0003326A">
              <w:rPr>
                <w:vertAlign w:val="superscript"/>
              </w:rPr>
              <w:t>3</w:t>
            </w:r>
            <w:r w:rsidRPr="00BA340B">
              <w:t>)</w:t>
            </w:r>
          </w:p>
        </w:tc>
        <w:tc>
          <w:tcPr>
            <w:tcW w:w="2558" w:type="dxa"/>
            <w:tcBorders>
              <w:bottom w:val="nil"/>
            </w:tcBorders>
          </w:tcPr>
          <w:p w14:paraId="02C59006" w14:textId="77777777" w:rsidR="00203691" w:rsidRPr="00BA340B" w:rsidRDefault="00203691" w:rsidP="00712B5C">
            <w:pPr>
              <w:pStyle w:val="TableBody"/>
            </w:pPr>
            <w:r w:rsidRPr="00BA340B">
              <w:t>6.290</w:t>
            </w:r>
          </w:p>
        </w:tc>
        <w:tc>
          <w:tcPr>
            <w:tcW w:w="2559" w:type="dxa"/>
            <w:tcBorders>
              <w:bottom w:val="nil"/>
            </w:tcBorders>
          </w:tcPr>
          <w:p w14:paraId="7032ED2D" w14:textId="77777777" w:rsidR="00203691" w:rsidRPr="00BA340B" w:rsidRDefault="00203691" w:rsidP="00F21FBA">
            <w:pPr>
              <w:pStyle w:val="TableBody"/>
            </w:pPr>
            <w:r w:rsidRPr="00BA340B">
              <w:t>barrel (petroleum, 1 barrel = 42 gal)</w:t>
            </w:r>
          </w:p>
        </w:tc>
      </w:tr>
      <w:tr w:rsidR="00203691" w:rsidRPr="00BA340B" w14:paraId="45D68647" w14:textId="77777777" w:rsidTr="00F21FBA">
        <w:trPr>
          <w:cantSplit/>
        </w:trPr>
        <w:tc>
          <w:tcPr>
            <w:tcW w:w="2558" w:type="dxa"/>
            <w:tcBorders>
              <w:top w:val="nil"/>
              <w:bottom w:val="nil"/>
            </w:tcBorders>
          </w:tcPr>
          <w:p w14:paraId="5F9491A5" w14:textId="77777777" w:rsidR="00203691" w:rsidRPr="00BA340B" w:rsidRDefault="00203691" w:rsidP="00F21FBA">
            <w:pPr>
              <w:pStyle w:val="TableBody"/>
            </w:pPr>
            <w:r w:rsidRPr="00BA340B">
              <w:t>liter (L)</w:t>
            </w:r>
          </w:p>
        </w:tc>
        <w:tc>
          <w:tcPr>
            <w:tcW w:w="2558" w:type="dxa"/>
            <w:tcBorders>
              <w:top w:val="nil"/>
              <w:bottom w:val="nil"/>
            </w:tcBorders>
          </w:tcPr>
          <w:p w14:paraId="61A43DC8" w14:textId="77777777" w:rsidR="00203691" w:rsidRPr="00BA340B" w:rsidRDefault="00203691" w:rsidP="00712B5C">
            <w:pPr>
              <w:pStyle w:val="TableBody"/>
            </w:pPr>
            <w:r w:rsidRPr="00BA340B">
              <w:t>33.81402</w:t>
            </w:r>
          </w:p>
        </w:tc>
        <w:tc>
          <w:tcPr>
            <w:tcW w:w="2559" w:type="dxa"/>
            <w:tcBorders>
              <w:top w:val="nil"/>
              <w:bottom w:val="nil"/>
            </w:tcBorders>
          </w:tcPr>
          <w:p w14:paraId="74E30F80" w14:textId="77777777" w:rsidR="00203691" w:rsidRPr="00BA340B" w:rsidRDefault="00203691" w:rsidP="00F21FBA">
            <w:pPr>
              <w:pStyle w:val="TableBody"/>
            </w:pPr>
            <w:r w:rsidRPr="00BA340B">
              <w:t>ounce, fluid (fl. oz)</w:t>
            </w:r>
          </w:p>
        </w:tc>
      </w:tr>
      <w:tr w:rsidR="00203691" w:rsidRPr="00BA340B" w14:paraId="797625CC" w14:textId="77777777" w:rsidTr="00F21FBA">
        <w:trPr>
          <w:cantSplit/>
        </w:trPr>
        <w:tc>
          <w:tcPr>
            <w:tcW w:w="2558" w:type="dxa"/>
            <w:tcBorders>
              <w:top w:val="nil"/>
              <w:bottom w:val="nil"/>
            </w:tcBorders>
          </w:tcPr>
          <w:p w14:paraId="51EA3778" w14:textId="77777777" w:rsidR="00203691" w:rsidRPr="00BA340B" w:rsidRDefault="00203691" w:rsidP="00F21FBA">
            <w:pPr>
              <w:pStyle w:val="TableBody"/>
            </w:pPr>
            <w:r w:rsidRPr="00BA340B">
              <w:t>liter (L)</w:t>
            </w:r>
          </w:p>
        </w:tc>
        <w:tc>
          <w:tcPr>
            <w:tcW w:w="2558" w:type="dxa"/>
            <w:tcBorders>
              <w:top w:val="nil"/>
              <w:bottom w:val="nil"/>
            </w:tcBorders>
          </w:tcPr>
          <w:p w14:paraId="215EE318" w14:textId="77777777" w:rsidR="00203691" w:rsidRPr="00BA340B" w:rsidRDefault="00203691" w:rsidP="00712B5C">
            <w:pPr>
              <w:pStyle w:val="TableBody"/>
            </w:pPr>
            <w:r w:rsidRPr="00BA340B">
              <w:t>2.113</w:t>
            </w:r>
          </w:p>
        </w:tc>
        <w:tc>
          <w:tcPr>
            <w:tcW w:w="2559" w:type="dxa"/>
            <w:tcBorders>
              <w:top w:val="nil"/>
              <w:bottom w:val="nil"/>
            </w:tcBorders>
          </w:tcPr>
          <w:p w14:paraId="503AC3CB" w14:textId="77777777" w:rsidR="00203691" w:rsidRPr="00BA340B" w:rsidRDefault="00203691" w:rsidP="00F21FBA">
            <w:pPr>
              <w:pStyle w:val="TableBody"/>
            </w:pPr>
            <w:r w:rsidRPr="00BA340B">
              <w:t>pint (pt)</w:t>
            </w:r>
          </w:p>
        </w:tc>
      </w:tr>
      <w:tr w:rsidR="00203691" w:rsidRPr="00BA340B" w14:paraId="5A8FE36F" w14:textId="77777777" w:rsidTr="00F21FBA">
        <w:trPr>
          <w:cantSplit/>
        </w:trPr>
        <w:tc>
          <w:tcPr>
            <w:tcW w:w="2558" w:type="dxa"/>
            <w:tcBorders>
              <w:top w:val="nil"/>
              <w:bottom w:val="nil"/>
            </w:tcBorders>
          </w:tcPr>
          <w:p w14:paraId="44950842" w14:textId="77777777" w:rsidR="00203691" w:rsidRPr="00BA340B" w:rsidRDefault="00203691" w:rsidP="00F21FBA">
            <w:pPr>
              <w:pStyle w:val="TableBody"/>
            </w:pPr>
            <w:r w:rsidRPr="00BA340B">
              <w:t>liter (L)</w:t>
            </w:r>
          </w:p>
        </w:tc>
        <w:tc>
          <w:tcPr>
            <w:tcW w:w="2558" w:type="dxa"/>
            <w:tcBorders>
              <w:top w:val="nil"/>
              <w:bottom w:val="nil"/>
            </w:tcBorders>
          </w:tcPr>
          <w:p w14:paraId="246A9D47" w14:textId="77777777" w:rsidR="00203691" w:rsidRPr="00BA340B" w:rsidRDefault="00203691" w:rsidP="00712B5C">
            <w:pPr>
              <w:pStyle w:val="TableBody"/>
            </w:pPr>
            <w:r w:rsidRPr="00BA340B">
              <w:t>1.057</w:t>
            </w:r>
          </w:p>
        </w:tc>
        <w:tc>
          <w:tcPr>
            <w:tcW w:w="2559" w:type="dxa"/>
            <w:tcBorders>
              <w:top w:val="nil"/>
              <w:bottom w:val="nil"/>
            </w:tcBorders>
          </w:tcPr>
          <w:p w14:paraId="29206358" w14:textId="77777777" w:rsidR="00203691" w:rsidRPr="00BA340B" w:rsidRDefault="00203691" w:rsidP="00F21FBA">
            <w:pPr>
              <w:pStyle w:val="TableBody"/>
            </w:pPr>
            <w:r w:rsidRPr="00BA340B">
              <w:t>quart (qt)</w:t>
            </w:r>
          </w:p>
        </w:tc>
      </w:tr>
      <w:tr w:rsidR="00203691" w:rsidRPr="00BA340B" w14:paraId="434E780C" w14:textId="77777777" w:rsidTr="00F21FBA">
        <w:trPr>
          <w:cantSplit/>
        </w:trPr>
        <w:tc>
          <w:tcPr>
            <w:tcW w:w="2558" w:type="dxa"/>
            <w:tcBorders>
              <w:top w:val="nil"/>
              <w:bottom w:val="nil"/>
            </w:tcBorders>
          </w:tcPr>
          <w:p w14:paraId="5D150991" w14:textId="77777777" w:rsidR="00203691" w:rsidRPr="00BA340B" w:rsidRDefault="00203691" w:rsidP="00F21FBA">
            <w:pPr>
              <w:pStyle w:val="TableBody"/>
            </w:pPr>
            <w:r w:rsidRPr="00BA340B">
              <w:t>liter (L)</w:t>
            </w:r>
          </w:p>
        </w:tc>
        <w:tc>
          <w:tcPr>
            <w:tcW w:w="2558" w:type="dxa"/>
            <w:tcBorders>
              <w:top w:val="nil"/>
              <w:bottom w:val="nil"/>
            </w:tcBorders>
          </w:tcPr>
          <w:p w14:paraId="0B1CDD44" w14:textId="77777777" w:rsidR="00203691" w:rsidRPr="00BA340B" w:rsidRDefault="00203691" w:rsidP="00712B5C">
            <w:pPr>
              <w:pStyle w:val="TableBody"/>
            </w:pPr>
            <w:r w:rsidRPr="00BA340B">
              <w:t>0.2642</w:t>
            </w:r>
          </w:p>
        </w:tc>
        <w:tc>
          <w:tcPr>
            <w:tcW w:w="2559" w:type="dxa"/>
            <w:tcBorders>
              <w:top w:val="nil"/>
              <w:bottom w:val="nil"/>
            </w:tcBorders>
          </w:tcPr>
          <w:p w14:paraId="6D612828" w14:textId="77777777" w:rsidR="00203691" w:rsidRPr="00BA340B" w:rsidRDefault="00203691" w:rsidP="00F21FBA">
            <w:pPr>
              <w:pStyle w:val="TableBody"/>
            </w:pPr>
            <w:r w:rsidRPr="00BA340B">
              <w:t>gallon (gal)</w:t>
            </w:r>
          </w:p>
        </w:tc>
      </w:tr>
      <w:tr w:rsidR="00203691" w:rsidRPr="00BA340B" w14:paraId="714D5E22" w14:textId="77777777" w:rsidTr="00F21FBA">
        <w:trPr>
          <w:cantSplit/>
        </w:trPr>
        <w:tc>
          <w:tcPr>
            <w:tcW w:w="2558" w:type="dxa"/>
            <w:tcBorders>
              <w:top w:val="nil"/>
              <w:bottom w:val="nil"/>
            </w:tcBorders>
          </w:tcPr>
          <w:p w14:paraId="34604564" w14:textId="77777777" w:rsidR="00203691" w:rsidRPr="00BA340B" w:rsidRDefault="00203691" w:rsidP="00F21FBA">
            <w:pPr>
              <w:pStyle w:val="TableBody"/>
            </w:pPr>
            <w:r w:rsidRPr="00BA340B">
              <w:t>cubic meter (m</w:t>
            </w:r>
            <w:r w:rsidRPr="0003326A">
              <w:rPr>
                <w:vertAlign w:val="superscript"/>
              </w:rPr>
              <w:t>3</w:t>
            </w:r>
            <w:r w:rsidRPr="00BA340B">
              <w:t>)</w:t>
            </w:r>
          </w:p>
        </w:tc>
        <w:tc>
          <w:tcPr>
            <w:tcW w:w="2558" w:type="dxa"/>
            <w:tcBorders>
              <w:top w:val="nil"/>
              <w:bottom w:val="nil"/>
            </w:tcBorders>
          </w:tcPr>
          <w:p w14:paraId="6C52EFC8" w14:textId="77777777" w:rsidR="00203691" w:rsidRPr="00BA340B" w:rsidRDefault="00203691" w:rsidP="00712B5C">
            <w:pPr>
              <w:pStyle w:val="TableBody"/>
            </w:pPr>
            <w:r w:rsidRPr="00BA340B">
              <w:t>264.2</w:t>
            </w:r>
          </w:p>
        </w:tc>
        <w:tc>
          <w:tcPr>
            <w:tcW w:w="2559" w:type="dxa"/>
            <w:tcBorders>
              <w:top w:val="nil"/>
              <w:bottom w:val="nil"/>
            </w:tcBorders>
          </w:tcPr>
          <w:p w14:paraId="44C5BF6C" w14:textId="77777777" w:rsidR="00203691" w:rsidRPr="00BA340B" w:rsidRDefault="00203691" w:rsidP="00F21FBA">
            <w:pPr>
              <w:pStyle w:val="TableBody"/>
            </w:pPr>
            <w:r w:rsidRPr="00BA340B">
              <w:t xml:space="preserve">gallon (gal) </w:t>
            </w:r>
          </w:p>
        </w:tc>
      </w:tr>
      <w:tr w:rsidR="00203691" w:rsidRPr="00BA340B" w14:paraId="4A08B493" w14:textId="77777777" w:rsidTr="00F21FBA">
        <w:trPr>
          <w:cantSplit/>
        </w:trPr>
        <w:tc>
          <w:tcPr>
            <w:tcW w:w="2558" w:type="dxa"/>
            <w:tcBorders>
              <w:top w:val="nil"/>
              <w:bottom w:val="nil"/>
            </w:tcBorders>
          </w:tcPr>
          <w:p w14:paraId="40213EA1" w14:textId="77777777" w:rsidR="00203691" w:rsidRPr="00BA340B" w:rsidRDefault="00203691" w:rsidP="00F21FBA">
            <w:pPr>
              <w:pStyle w:val="TableBody"/>
            </w:pPr>
            <w:r w:rsidRPr="00BA340B">
              <w:t>cubic decimeter (dm</w:t>
            </w:r>
            <w:r w:rsidRPr="0003326A">
              <w:rPr>
                <w:vertAlign w:val="superscript"/>
              </w:rPr>
              <w:t>3</w:t>
            </w:r>
            <w:r w:rsidRPr="00BA340B">
              <w:t>)</w:t>
            </w:r>
          </w:p>
        </w:tc>
        <w:tc>
          <w:tcPr>
            <w:tcW w:w="2558" w:type="dxa"/>
            <w:tcBorders>
              <w:top w:val="nil"/>
              <w:bottom w:val="nil"/>
            </w:tcBorders>
          </w:tcPr>
          <w:p w14:paraId="566C7F21" w14:textId="77777777" w:rsidR="00203691" w:rsidRPr="00BA340B" w:rsidRDefault="00203691" w:rsidP="00712B5C">
            <w:pPr>
              <w:pStyle w:val="TableBody"/>
            </w:pPr>
            <w:r w:rsidRPr="00BA340B">
              <w:t>0.2642</w:t>
            </w:r>
          </w:p>
        </w:tc>
        <w:tc>
          <w:tcPr>
            <w:tcW w:w="2559" w:type="dxa"/>
            <w:tcBorders>
              <w:top w:val="nil"/>
              <w:bottom w:val="nil"/>
            </w:tcBorders>
          </w:tcPr>
          <w:p w14:paraId="1B55EA42" w14:textId="77777777" w:rsidR="00203691" w:rsidRPr="00BA340B" w:rsidRDefault="00203691" w:rsidP="00F21FBA">
            <w:pPr>
              <w:pStyle w:val="TableBody"/>
            </w:pPr>
            <w:r w:rsidRPr="00BA340B">
              <w:t xml:space="preserve">gallon (gal) </w:t>
            </w:r>
          </w:p>
        </w:tc>
      </w:tr>
      <w:tr w:rsidR="00203691" w:rsidRPr="00BA340B" w14:paraId="2F07CDFB" w14:textId="77777777" w:rsidTr="00F21FBA">
        <w:trPr>
          <w:cantSplit/>
        </w:trPr>
        <w:tc>
          <w:tcPr>
            <w:tcW w:w="2558" w:type="dxa"/>
            <w:tcBorders>
              <w:top w:val="nil"/>
              <w:bottom w:val="nil"/>
            </w:tcBorders>
          </w:tcPr>
          <w:p w14:paraId="4B0459FF" w14:textId="77777777" w:rsidR="00203691" w:rsidRPr="00BA340B" w:rsidRDefault="00203691" w:rsidP="00F21FBA">
            <w:pPr>
              <w:pStyle w:val="TableBody"/>
            </w:pPr>
            <w:r w:rsidRPr="00BA340B">
              <w:t>cubic meter (m</w:t>
            </w:r>
            <w:r w:rsidRPr="0003326A">
              <w:rPr>
                <w:vertAlign w:val="superscript"/>
              </w:rPr>
              <w:t>3</w:t>
            </w:r>
            <w:r w:rsidRPr="00BA340B">
              <w:t>)</w:t>
            </w:r>
          </w:p>
        </w:tc>
        <w:tc>
          <w:tcPr>
            <w:tcW w:w="2558" w:type="dxa"/>
            <w:tcBorders>
              <w:top w:val="nil"/>
              <w:bottom w:val="nil"/>
            </w:tcBorders>
          </w:tcPr>
          <w:p w14:paraId="00FD6960" w14:textId="77777777" w:rsidR="00203691" w:rsidRPr="00BA340B" w:rsidRDefault="00203691" w:rsidP="00712B5C">
            <w:pPr>
              <w:pStyle w:val="TableBody"/>
            </w:pPr>
            <w:r w:rsidRPr="00BA340B">
              <w:t>0.0002642</w:t>
            </w:r>
          </w:p>
        </w:tc>
        <w:tc>
          <w:tcPr>
            <w:tcW w:w="2559" w:type="dxa"/>
            <w:tcBorders>
              <w:top w:val="nil"/>
              <w:bottom w:val="nil"/>
            </w:tcBorders>
          </w:tcPr>
          <w:p w14:paraId="14C04445" w14:textId="77777777" w:rsidR="00203691" w:rsidRPr="00BA340B" w:rsidRDefault="00203691" w:rsidP="00F21FBA">
            <w:pPr>
              <w:pStyle w:val="TableBody"/>
            </w:pPr>
            <w:r w:rsidRPr="00BA340B">
              <w:t>million gallons (</w:t>
            </w:r>
            <w:proofErr w:type="spellStart"/>
            <w:r w:rsidRPr="00BA340B">
              <w:t>Mgal</w:t>
            </w:r>
            <w:proofErr w:type="spellEnd"/>
            <w:r w:rsidRPr="00BA340B">
              <w:t xml:space="preserve">) </w:t>
            </w:r>
          </w:p>
        </w:tc>
      </w:tr>
      <w:tr w:rsidR="00203691" w:rsidRPr="00BA340B" w14:paraId="51E1A040" w14:textId="77777777" w:rsidTr="00F21FBA">
        <w:trPr>
          <w:cantSplit/>
        </w:trPr>
        <w:tc>
          <w:tcPr>
            <w:tcW w:w="2558" w:type="dxa"/>
            <w:tcBorders>
              <w:top w:val="nil"/>
              <w:bottom w:val="nil"/>
            </w:tcBorders>
          </w:tcPr>
          <w:p w14:paraId="5975DD07" w14:textId="77777777" w:rsidR="00203691" w:rsidRPr="00BA340B" w:rsidRDefault="00203691" w:rsidP="00F21FBA">
            <w:pPr>
              <w:pStyle w:val="TableBody"/>
            </w:pPr>
            <w:r>
              <w:t>cubic kilometer (km</w:t>
            </w:r>
            <w:r w:rsidRPr="00B5798F">
              <w:rPr>
                <w:vertAlign w:val="superscript"/>
              </w:rPr>
              <w:t>3</w:t>
            </w:r>
            <w:r>
              <w:t>)</w:t>
            </w:r>
          </w:p>
        </w:tc>
        <w:tc>
          <w:tcPr>
            <w:tcW w:w="2558" w:type="dxa"/>
            <w:tcBorders>
              <w:top w:val="nil"/>
              <w:bottom w:val="nil"/>
            </w:tcBorders>
          </w:tcPr>
          <w:p w14:paraId="19AD38A3" w14:textId="77777777" w:rsidR="00203691" w:rsidRPr="00BA340B" w:rsidRDefault="00203691" w:rsidP="00712B5C">
            <w:pPr>
              <w:pStyle w:val="TableBody"/>
            </w:pPr>
            <w:r w:rsidRPr="00BA340B">
              <w:t>264</w:t>
            </w:r>
            <w:r>
              <w:t>.</w:t>
            </w:r>
            <w:r w:rsidRPr="00BA340B">
              <w:t>2</w:t>
            </w:r>
          </w:p>
        </w:tc>
        <w:tc>
          <w:tcPr>
            <w:tcW w:w="2559" w:type="dxa"/>
            <w:tcBorders>
              <w:top w:val="nil"/>
              <w:bottom w:val="nil"/>
            </w:tcBorders>
          </w:tcPr>
          <w:p w14:paraId="25629457" w14:textId="77777777" w:rsidR="00203691" w:rsidRPr="00BA340B" w:rsidRDefault="00203691" w:rsidP="00F21FBA">
            <w:pPr>
              <w:pStyle w:val="TableBody"/>
            </w:pPr>
            <w:r>
              <w:t>billion gallons (</w:t>
            </w:r>
            <w:proofErr w:type="spellStart"/>
            <w:r>
              <w:t>Ggal</w:t>
            </w:r>
            <w:proofErr w:type="spellEnd"/>
            <w:r>
              <w:t>)</w:t>
            </w:r>
          </w:p>
        </w:tc>
      </w:tr>
      <w:tr w:rsidR="00203691" w:rsidRPr="00BA340B" w14:paraId="1EDC1D59" w14:textId="77777777" w:rsidTr="00F21FBA">
        <w:trPr>
          <w:cantSplit/>
        </w:trPr>
        <w:tc>
          <w:tcPr>
            <w:tcW w:w="2558" w:type="dxa"/>
            <w:tcBorders>
              <w:top w:val="nil"/>
              <w:bottom w:val="nil"/>
            </w:tcBorders>
          </w:tcPr>
          <w:p w14:paraId="57CD9E80" w14:textId="77777777" w:rsidR="00203691" w:rsidRPr="00BA340B" w:rsidRDefault="00203691" w:rsidP="00F21FBA">
            <w:pPr>
              <w:pStyle w:val="TableBody"/>
            </w:pPr>
            <w:r w:rsidRPr="00BA340B">
              <w:t>cubic centimeter (cm</w:t>
            </w:r>
            <w:r w:rsidRPr="0003326A">
              <w:rPr>
                <w:vertAlign w:val="superscript"/>
              </w:rPr>
              <w:t>3</w:t>
            </w:r>
            <w:r w:rsidRPr="00BA340B">
              <w:t>)</w:t>
            </w:r>
          </w:p>
        </w:tc>
        <w:tc>
          <w:tcPr>
            <w:tcW w:w="2558" w:type="dxa"/>
            <w:tcBorders>
              <w:top w:val="nil"/>
              <w:bottom w:val="nil"/>
            </w:tcBorders>
          </w:tcPr>
          <w:p w14:paraId="064679E2" w14:textId="77777777" w:rsidR="00203691" w:rsidRPr="00BA340B" w:rsidRDefault="00203691" w:rsidP="00712B5C">
            <w:pPr>
              <w:pStyle w:val="TableBody"/>
            </w:pPr>
            <w:r w:rsidRPr="00BA340B">
              <w:t>0.06102</w:t>
            </w:r>
          </w:p>
        </w:tc>
        <w:tc>
          <w:tcPr>
            <w:tcW w:w="2559" w:type="dxa"/>
            <w:tcBorders>
              <w:top w:val="nil"/>
              <w:bottom w:val="nil"/>
            </w:tcBorders>
          </w:tcPr>
          <w:p w14:paraId="58BE7D5C" w14:textId="77777777" w:rsidR="00203691" w:rsidRPr="00BA340B" w:rsidRDefault="00203691" w:rsidP="00F21FBA">
            <w:pPr>
              <w:pStyle w:val="TableBody"/>
            </w:pPr>
            <w:r w:rsidRPr="00BA340B">
              <w:t>cubic inch (in</w:t>
            </w:r>
            <w:r w:rsidRPr="0003326A">
              <w:rPr>
                <w:vertAlign w:val="superscript"/>
              </w:rPr>
              <w:t>3</w:t>
            </w:r>
            <w:r w:rsidRPr="00BA340B">
              <w:t xml:space="preserve">) </w:t>
            </w:r>
          </w:p>
        </w:tc>
      </w:tr>
      <w:tr w:rsidR="00203691" w:rsidRPr="00BA340B" w14:paraId="340BF666" w14:textId="77777777" w:rsidTr="00F21FBA">
        <w:trPr>
          <w:cantSplit/>
        </w:trPr>
        <w:tc>
          <w:tcPr>
            <w:tcW w:w="2558" w:type="dxa"/>
            <w:tcBorders>
              <w:top w:val="nil"/>
              <w:bottom w:val="nil"/>
            </w:tcBorders>
          </w:tcPr>
          <w:p w14:paraId="7D5E9A86" w14:textId="77777777" w:rsidR="00203691" w:rsidRPr="00BA340B" w:rsidRDefault="00203691" w:rsidP="00F21FBA">
            <w:pPr>
              <w:pStyle w:val="TableBody"/>
            </w:pPr>
            <w:r w:rsidRPr="00BA340B">
              <w:t>cubic decimeter (dm</w:t>
            </w:r>
            <w:r w:rsidRPr="0003326A">
              <w:rPr>
                <w:vertAlign w:val="superscript"/>
              </w:rPr>
              <w:t>3</w:t>
            </w:r>
            <w:r w:rsidRPr="00BA340B">
              <w:t>)</w:t>
            </w:r>
          </w:p>
        </w:tc>
        <w:tc>
          <w:tcPr>
            <w:tcW w:w="2558" w:type="dxa"/>
            <w:tcBorders>
              <w:top w:val="nil"/>
              <w:bottom w:val="nil"/>
            </w:tcBorders>
          </w:tcPr>
          <w:p w14:paraId="315AF38D" w14:textId="77777777" w:rsidR="00203691" w:rsidRPr="00BA340B" w:rsidRDefault="00203691" w:rsidP="00712B5C">
            <w:pPr>
              <w:pStyle w:val="TableBody"/>
            </w:pPr>
            <w:r w:rsidRPr="00BA340B">
              <w:t>61.02</w:t>
            </w:r>
          </w:p>
        </w:tc>
        <w:tc>
          <w:tcPr>
            <w:tcW w:w="2559" w:type="dxa"/>
            <w:tcBorders>
              <w:top w:val="nil"/>
              <w:bottom w:val="nil"/>
            </w:tcBorders>
          </w:tcPr>
          <w:p w14:paraId="093E3F38" w14:textId="77777777" w:rsidR="00203691" w:rsidRPr="00BA340B" w:rsidRDefault="00203691" w:rsidP="00F21FBA">
            <w:pPr>
              <w:pStyle w:val="TableBody"/>
            </w:pPr>
            <w:r w:rsidRPr="00BA340B">
              <w:t>cubic inch (in</w:t>
            </w:r>
            <w:r w:rsidRPr="0003326A">
              <w:rPr>
                <w:vertAlign w:val="superscript"/>
              </w:rPr>
              <w:t>3</w:t>
            </w:r>
            <w:r w:rsidRPr="00BA340B">
              <w:t xml:space="preserve">) </w:t>
            </w:r>
          </w:p>
        </w:tc>
      </w:tr>
      <w:tr w:rsidR="00203691" w:rsidRPr="00BA340B" w14:paraId="5C34EF5F" w14:textId="77777777" w:rsidTr="00F21FBA">
        <w:trPr>
          <w:cantSplit/>
        </w:trPr>
        <w:tc>
          <w:tcPr>
            <w:tcW w:w="2558" w:type="dxa"/>
            <w:tcBorders>
              <w:top w:val="nil"/>
              <w:bottom w:val="nil"/>
            </w:tcBorders>
          </w:tcPr>
          <w:p w14:paraId="49F88397" w14:textId="77777777" w:rsidR="00203691" w:rsidRPr="00BA340B" w:rsidRDefault="00203691" w:rsidP="00F21FBA">
            <w:pPr>
              <w:pStyle w:val="TableBody"/>
            </w:pPr>
            <w:r w:rsidRPr="00BA340B">
              <w:t>liter (L)</w:t>
            </w:r>
          </w:p>
        </w:tc>
        <w:tc>
          <w:tcPr>
            <w:tcW w:w="2558" w:type="dxa"/>
            <w:tcBorders>
              <w:top w:val="nil"/>
              <w:bottom w:val="nil"/>
            </w:tcBorders>
          </w:tcPr>
          <w:p w14:paraId="5DDD1E35" w14:textId="77777777" w:rsidR="00203691" w:rsidRPr="00BA340B" w:rsidRDefault="00203691" w:rsidP="00712B5C">
            <w:pPr>
              <w:pStyle w:val="TableBody"/>
            </w:pPr>
            <w:r w:rsidRPr="00BA340B">
              <w:t>61.02</w:t>
            </w:r>
          </w:p>
        </w:tc>
        <w:tc>
          <w:tcPr>
            <w:tcW w:w="2559" w:type="dxa"/>
            <w:tcBorders>
              <w:top w:val="nil"/>
              <w:bottom w:val="nil"/>
            </w:tcBorders>
          </w:tcPr>
          <w:p w14:paraId="06DCB5BE" w14:textId="77777777" w:rsidR="00203691" w:rsidRPr="00BA340B" w:rsidRDefault="00203691" w:rsidP="00F21FBA">
            <w:pPr>
              <w:pStyle w:val="TableBody"/>
            </w:pPr>
            <w:r w:rsidRPr="00BA340B">
              <w:t>cubic inch (in</w:t>
            </w:r>
            <w:r w:rsidRPr="0003326A">
              <w:rPr>
                <w:vertAlign w:val="superscript"/>
              </w:rPr>
              <w:t>3</w:t>
            </w:r>
            <w:r w:rsidRPr="00BA340B">
              <w:t xml:space="preserve">) </w:t>
            </w:r>
          </w:p>
        </w:tc>
      </w:tr>
      <w:tr w:rsidR="00203691" w:rsidRPr="00BA340B" w14:paraId="48D37C2A" w14:textId="77777777" w:rsidTr="00F21FBA">
        <w:trPr>
          <w:cantSplit/>
        </w:trPr>
        <w:tc>
          <w:tcPr>
            <w:tcW w:w="2558" w:type="dxa"/>
            <w:tcBorders>
              <w:top w:val="nil"/>
              <w:bottom w:val="nil"/>
            </w:tcBorders>
          </w:tcPr>
          <w:p w14:paraId="75CFF5F0" w14:textId="77777777" w:rsidR="00203691" w:rsidRPr="00BA340B" w:rsidRDefault="00203691" w:rsidP="00F21FBA">
            <w:pPr>
              <w:pStyle w:val="TableBody"/>
            </w:pPr>
            <w:r w:rsidRPr="00BA340B">
              <w:t>cubic decimeter (dm</w:t>
            </w:r>
            <w:r w:rsidRPr="0003326A">
              <w:rPr>
                <w:vertAlign w:val="superscript"/>
              </w:rPr>
              <w:t>3</w:t>
            </w:r>
            <w:r w:rsidRPr="00BA340B">
              <w:t>)</w:t>
            </w:r>
          </w:p>
        </w:tc>
        <w:tc>
          <w:tcPr>
            <w:tcW w:w="2558" w:type="dxa"/>
            <w:tcBorders>
              <w:top w:val="nil"/>
              <w:bottom w:val="nil"/>
            </w:tcBorders>
          </w:tcPr>
          <w:p w14:paraId="461ADDA4" w14:textId="77777777" w:rsidR="00203691" w:rsidRPr="00BA340B" w:rsidRDefault="00203691" w:rsidP="00712B5C">
            <w:pPr>
              <w:pStyle w:val="TableBody"/>
            </w:pPr>
            <w:r w:rsidRPr="00BA340B">
              <w:t>0.03531</w:t>
            </w:r>
          </w:p>
        </w:tc>
        <w:tc>
          <w:tcPr>
            <w:tcW w:w="2559" w:type="dxa"/>
            <w:tcBorders>
              <w:top w:val="nil"/>
              <w:bottom w:val="nil"/>
            </w:tcBorders>
          </w:tcPr>
          <w:p w14:paraId="0FB5B453" w14:textId="77777777" w:rsidR="00203691" w:rsidRPr="00BA340B" w:rsidRDefault="00203691" w:rsidP="00F21FBA">
            <w:pPr>
              <w:pStyle w:val="TableBody"/>
            </w:pPr>
            <w:r w:rsidRPr="00BA340B">
              <w:t>cubic foot (ft</w:t>
            </w:r>
            <w:r w:rsidRPr="0003326A">
              <w:rPr>
                <w:vertAlign w:val="superscript"/>
              </w:rPr>
              <w:t>3</w:t>
            </w:r>
            <w:r w:rsidRPr="00BA340B">
              <w:t xml:space="preserve">) </w:t>
            </w:r>
          </w:p>
        </w:tc>
      </w:tr>
      <w:tr w:rsidR="00203691" w:rsidRPr="00BA340B" w14:paraId="171718B0" w14:textId="77777777" w:rsidTr="00F21FBA">
        <w:trPr>
          <w:cantSplit/>
        </w:trPr>
        <w:tc>
          <w:tcPr>
            <w:tcW w:w="2558" w:type="dxa"/>
            <w:tcBorders>
              <w:top w:val="nil"/>
              <w:bottom w:val="nil"/>
            </w:tcBorders>
          </w:tcPr>
          <w:p w14:paraId="744F30F2" w14:textId="77777777" w:rsidR="00203691" w:rsidRPr="00BA340B" w:rsidRDefault="00203691" w:rsidP="00F21FBA">
            <w:pPr>
              <w:pStyle w:val="TableBody"/>
            </w:pPr>
            <w:r w:rsidRPr="00BA340B">
              <w:t>cubic meter (m</w:t>
            </w:r>
            <w:r w:rsidRPr="0003326A">
              <w:rPr>
                <w:vertAlign w:val="superscript"/>
              </w:rPr>
              <w:t>3</w:t>
            </w:r>
            <w:r w:rsidRPr="00BA340B">
              <w:t>)</w:t>
            </w:r>
          </w:p>
        </w:tc>
        <w:tc>
          <w:tcPr>
            <w:tcW w:w="2558" w:type="dxa"/>
            <w:tcBorders>
              <w:top w:val="nil"/>
              <w:bottom w:val="nil"/>
            </w:tcBorders>
          </w:tcPr>
          <w:p w14:paraId="1D159E04" w14:textId="77777777" w:rsidR="00203691" w:rsidRPr="00BA340B" w:rsidRDefault="00203691" w:rsidP="00712B5C">
            <w:pPr>
              <w:pStyle w:val="TableBody"/>
            </w:pPr>
            <w:r w:rsidRPr="00BA340B">
              <w:t>35.31</w:t>
            </w:r>
          </w:p>
        </w:tc>
        <w:tc>
          <w:tcPr>
            <w:tcW w:w="2559" w:type="dxa"/>
            <w:tcBorders>
              <w:top w:val="nil"/>
              <w:bottom w:val="nil"/>
            </w:tcBorders>
          </w:tcPr>
          <w:p w14:paraId="615BBAB8" w14:textId="77777777" w:rsidR="00203691" w:rsidRPr="00BA340B" w:rsidRDefault="00203691" w:rsidP="00F21FBA">
            <w:pPr>
              <w:pStyle w:val="TableBody"/>
            </w:pPr>
            <w:r w:rsidRPr="00BA340B">
              <w:t>cubic foot (ft</w:t>
            </w:r>
            <w:r w:rsidRPr="0003326A">
              <w:rPr>
                <w:vertAlign w:val="superscript"/>
              </w:rPr>
              <w:t>3</w:t>
            </w:r>
            <w:r w:rsidRPr="00BA340B">
              <w:t>)</w:t>
            </w:r>
          </w:p>
        </w:tc>
      </w:tr>
      <w:tr w:rsidR="00203691" w:rsidRPr="00BA340B" w14:paraId="4BF6919C" w14:textId="77777777" w:rsidTr="00F21FBA">
        <w:trPr>
          <w:cantSplit/>
        </w:trPr>
        <w:tc>
          <w:tcPr>
            <w:tcW w:w="2558" w:type="dxa"/>
            <w:tcBorders>
              <w:top w:val="nil"/>
              <w:bottom w:val="nil"/>
            </w:tcBorders>
          </w:tcPr>
          <w:p w14:paraId="6C1AC45E" w14:textId="77777777" w:rsidR="00203691" w:rsidRPr="00BA340B" w:rsidRDefault="00203691" w:rsidP="00F21FBA">
            <w:pPr>
              <w:pStyle w:val="TableBody"/>
            </w:pPr>
            <w:r w:rsidRPr="00BA340B">
              <w:t>cubic meter (m</w:t>
            </w:r>
            <w:r w:rsidRPr="0003326A">
              <w:rPr>
                <w:vertAlign w:val="superscript"/>
              </w:rPr>
              <w:t>3</w:t>
            </w:r>
            <w:r w:rsidRPr="00BA340B">
              <w:t>)</w:t>
            </w:r>
          </w:p>
        </w:tc>
        <w:tc>
          <w:tcPr>
            <w:tcW w:w="2558" w:type="dxa"/>
            <w:tcBorders>
              <w:top w:val="nil"/>
              <w:bottom w:val="nil"/>
            </w:tcBorders>
          </w:tcPr>
          <w:p w14:paraId="59EC3F56" w14:textId="77777777" w:rsidR="00203691" w:rsidRPr="00BA340B" w:rsidRDefault="00203691" w:rsidP="00712B5C">
            <w:pPr>
              <w:pStyle w:val="TableBody"/>
            </w:pPr>
            <w:r w:rsidRPr="00BA340B">
              <w:t>1.308</w:t>
            </w:r>
          </w:p>
        </w:tc>
        <w:tc>
          <w:tcPr>
            <w:tcW w:w="2559" w:type="dxa"/>
            <w:tcBorders>
              <w:top w:val="nil"/>
              <w:bottom w:val="nil"/>
            </w:tcBorders>
          </w:tcPr>
          <w:p w14:paraId="5746A361" w14:textId="77777777" w:rsidR="00203691" w:rsidRPr="00BA340B" w:rsidRDefault="00203691" w:rsidP="00F21FBA">
            <w:pPr>
              <w:pStyle w:val="TableBody"/>
            </w:pPr>
            <w:r w:rsidRPr="00BA340B">
              <w:t>cubic yard (yd</w:t>
            </w:r>
            <w:r w:rsidRPr="0003326A">
              <w:rPr>
                <w:vertAlign w:val="superscript"/>
              </w:rPr>
              <w:t>3</w:t>
            </w:r>
            <w:r w:rsidRPr="00BA340B">
              <w:t xml:space="preserve">) </w:t>
            </w:r>
          </w:p>
        </w:tc>
      </w:tr>
      <w:tr w:rsidR="00203691" w:rsidRPr="00BA340B" w14:paraId="1C271455" w14:textId="77777777" w:rsidTr="00F21FBA">
        <w:trPr>
          <w:cantSplit/>
        </w:trPr>
        <w:tc>
          <w:tcPr>
            <w:tcW w:w="2558" w:type="dxa"/>
            <w:tcBorders>
              <w:top w:val="nil"/>
              <w:bottom w:val="nil"/>
            </w:tcBorders>
          </w:tcPr>
          <w:p w14:paraId="4D3CF18D" w14:textId="77777777" w:rsidR="00203691" w:rsidRPr="00BA340B" w:rsidRDefault="00203691" w:rsidP="00F21FBA">
            <w:pPr>
              <w:pStyle w:val="TableBody"/>
            </w:pPr>
            <w:r w:rsidRPr="00BA340B">
              <w:t>cubic kilometer (km</w:t>
            </w:r>
            <w:r w:rsidRPr="0003326A">
              <w:rPr>
                <w:vertAlign w:val="superscript"/>
              </w:rPr>
              <w:t>3</w:t>
            </w:r>
            <w:r w:rsidRPr="00BA340B">
              <w:t>)</w:t>
            </w:r>
          </w:p>
        </w:tc>
        <w:tc>
          <w:tcPr>
            <w:tcW w:w="2558" w:type="dxa"/>
            <w:tcBorders>
              <w:top w:val="nil"/>
              <w:bottom w:val="nil"/>
            </w:tcBorders>
          </w:tcPr>
          <w:p w14:paraId="360B8CEF" w14:textId="77777777" w:rsidR="00203691" w:rsidRPr="00BA340B" w:rsidRDefault="00203691" w:rsidP="00712B5C">
            <w:pPr>
              <w:pStyle w:val="TableBody"/>
            </w:pPr>
            <w:r w:rsidRPr="00BA340B">
              <w:t>0.2399</w:t>
            </w:r>
          </w:p>
        </w:tc>
        <w:tc>
          <w:tcPr>
            <w:tcW w:w="2559" w:type="dxa"/>
            <w:tcBorders>
              <w:top w:val="nil"/>
              <w:bottom w:val="nil"/>
            </w:tcBorders>
          </w:tcPr>
          <w:p w14:paraId="742A7713" w14:textId="77777777" w:rsidR="00203691" w:rsidRPr="00BA340B" w:rsidRDefault="00203691" w:rsidP="00F21FBA">
            <w:pPr>
              <w:pStyle w:val="TableBody"/>
            </w:pPr>
            <w:r w:rsidRPr="00BA340B">
              <w:t>cubic mile (mi</w:t>
            </w:r>
            <w:r w:rsidRPr="0003326A">
              <w:rPr>
                <w:vertAlign w:val="superscript"/>
              </w:rPr>
              <w:t>3</w:t>
            </w:r>
            <w:r w:rsidRPr="00BA340B">
              <w:t xml:space="preserve">) </w:t>
            </w:r>
          </w:p>
        </w:tc>
      </w:tr>
      <w:tr w:rsidR="00203691" w:rsidRPr="00BA340B" w14:paraId="08ADBC42" w14:textId="77777777" w:rsidTr="00F21FBA">
        <w:trPr>
          <w:cantSplit/>
        </w:trPr>
        <w:tc>
          <w:tcPr>
            <w:tcW w:w="2558" w:type="dxa"/>
            <w:tcBorders>
              <w:top w:val="nil"/>
              <w:bottom w:val="nil"/>
            </w:tcBorders>
          </w:tcPr>
          <w:p w14:paraId="2243C13F" w14:textId="77777777" w:rsidR="00203691" w:rsidRPr="00BA340B" w:rsidRDefault="00203691" w:rsidP="00F21FBA">
            <w:pPr>
              <w:pStyle w:val="TableBody"/>
            </w:pPr>
            <w:r w:rsidRPr="00BA340B">
              <w:t>cubic meter (m</w:t>
            </w:r>
            <w:r w:rsidRPr="0003326A">
              <w:rPr>
                <w:vertAlign w:val="superscript"/>
              </w:rPr>
              <w:t>3</w:t>
            </w:r>
            <w:r w:rsidRPr="00BA340B">
              <w:t>)</w:t>
            </w:r>
          </w:p>
        </w:tc>
        <w:tc>
          <w:tcPr>
            <w:tcW w:w="2558" w:type="dxa"/>
            <w:tcBorders>
              <w:top w:val="nil"/>
              <w:bottom w:val="nil"/>
            </w:tcBorders>
          </w:tcPr>
          <w:p w14:paraId="1C59427D" w14:textId="77777777" w:rsidR="00203691" w:rsidRPr="00BA340B" w:rsidRDefault="00203691" w:rsidP="00712B5C">
            <w:pPr>
              <w:pStyle w:val="TableBody"/>
            </w:pPr>
            <w:r w:rsidRPr="00BA340B">
              <w:t>0.0008107</w:t>
            </w:r>
          </w:p>
        </w:tc>
        <w:tc>
          <w:tcPr>
            <w:tcW w:w="2559" w:type="dxa"/>
            <w:tcBorders>
              <w:top w:val="nil"/>
              <w:bottom w:val="nil"/>
            </w:tcBorders>
          </w:tcPr>
          <w:p w14:paraId="27587C85" w14:textId="77777777" w:rsidR="00203691" w:rsidRPr="00BA340B" w:rsidRDefault="00203691" w:rsidP="00F21FBA">
            <w:pPr>
              <w:pStyle w:val="TableBody"/>
            </w:pPr>
            <w:r w:rsidRPr="00BA340B">
              <w:t xml:space="preserve">acre-foot (acre-ft) </w:t>
            </w:r>
          </w:p>
        </w:tc>
      </w:tr>
      <w:tr w:rsidR="00203691" w:rsidRPr="00BA340B" w14:paraId="3D2E3CA5" w14:textId="77777777" w:rsidTr="00F21FBA">
        <w:trPr>
          <w:cantSplit/>
        </w:trPr>
        <w:tc>
          <w:tcPr>
            <w:tcW w:w="2558" w:type="dxa"/>
            <w:tcBorders>
              <w:top w:val="nil"/>
            </w:tcBorders>
          </w:tcPr>
          <w:p w14:paraId="0C1BDD76" w14:textId="77777777" w:rsidR="00203691" w:rsidRPr="00BA340B" w:rsidRDefault="00203691" w:rsidP="00F21FBA">
            <w:pPr>
              <w:pStyle w:val="TableBody"/>
            </w:pPr>
            <w:r w:rsidRPr="00BA340B">
              <w:t>cubic hectometer (hm</w:t>
            </w:r>
            <w:r w:rsidRPr="0003326A">
              <w:rPr>
                <w:vertAlign w:val="superscript"/>
              </w:rPr>
              <w:t>3</w:t>
            </w:r>
            <w:r w:rsidRPr="00BA340B">
              <w:t>)</w:t>
            </w:r>
          </w:p>
        </w:tc>
        <w:tc>
          <w:tcPr>
            <w:tcW w:w="2558" w:type="dxa"/>
            <w:tcBorders>
              <w:top w:val="nil"/>
            </w:tcBorders>
          </w:tcPr>
          <w:p w14:paraId="240BB529" w14:textId="77777777" w:rsidR="00203691" w:rsidRPr="00BA340B" w:rsidRDefault="00203691" w:rsidP="00712B5C">
            <w:pPr>
              <w:pStyle w:val="TableBody"/>
            </w:pPr>
            <w:r w:rsidRPr="00BA340B">
              <w:t>810.7</w:t>
            </w:r>
          </w:p>
        </w:tc>
        <w:tc>
          <w:tcPr>
            <w:tcW w:w="2559" w:type="dxa"/>
            <w:tcBorders>
              <w:top w:val="nil"/>
            </w:tcBorders>
          </w:tcPr>
          <w:p w14:paraId="7031AFB2" w14:textId="77777777" w:rsidR="00203691" w:rsidRPr="00BA340B" w:rsidRDefault="00203691" w:rsidP="00F21FBA">
            <w:pPr>
              <w:pStyle w:val="TableBody"/>
            </w:pPr>
            <w:r w:rsidRPr="00BA340B">
              <w:t xml:space="preserve">acre-foot (acre-ft) </w:t>
            </w:r>
          </w:p>
        </w:tc>
      </w:tr>
      <w:tr w:rsidR="00203691" w:rsidRPr="00BA340B" w14:paraId="7B19CEE0" w14:textId="77777777" w:rsidTr="00F21FBA">
        <w:trPr>
          <w:cantSplit/>
        </w:trPr>
        <w:tc>
          <w:tcPr>
            <w:tcW w:w="7675" w:type="dxa"/>
            <w:gridSpan w:val="3"/>
            <w:tcBorders>
              <w:bottom w:val="single" w:sz="4" w:space="0" w:color="auto"/>
            </w:tcBorders>
            <w:vAlign w:val="center"/>
          </w:tcPr>
          <w:p w14:paraId="31D95EE2" w14:textId="77777777" w:rsidR="00203691" w:rsidRPr="002E2E3D" w:rsidRDefault="00203691" w:rsidP="00F21FBA">
            <w:pPr>
              <w:pStyle w:val="TableSpanner"/>
              <w:tabs>
                <w:tab w:val="decimal" w:pos="495"/>
              </w:tabs>
            </w:pPr>
            <w:r w:rsidRPr="002E2E3D">
              <w:t>Flow rate</w:t>
            </w:r>
          </w:p>
        </w:tc>
      </w:tr>
      <w:tr w:rsidR="00203691" w:rsidRPr="00BA340B" w14:paraId="115BC82D" w14:textId="77777777" w:rsidTr="00F21FBA">
        <w:trPr>
          <w:cantSplit/>
        </w:trPr>
        <w:tc>
          <w:tcPr>
            <w:tcW w:w="2558" w:type="dxa"/>
            <w:tcBorders>
              <w:bottom w:val="nil"/>
            </w:tcBorders>
          </w:tcPr>
          <w:p w14:paraId="28227238" w14:textId="77777777" w:rsidR="00203691" w:rsidRPr="00BA340B" w:rsidRDefault="00203691" w:rsidP="00F21FBA">
            <w:pPr>
              <w:pStyle w:val="TableBody"/>
            </w:pPr>
            <w:r w:rsidRPr="00BA340B">
              <w:t>cubic meter per second (m</w:t>
            </w:r>
            <w:r w:rsidRPr="0003326A">
              <w:rPr>
                <w:vertAlign w:val="superscript"/>
              </w:rPr>
              <w:t>3</w:t>
            </w:r>
            <w:r w:rsidRPr="00BA340B">
              <w:t>/s)</w:t>
            </w:r>
          </w:p>
        </w:tc>
        <w:tc>
          <w:tcPr>
            <w:tcW w:w="2558" w:type="dxa"/>
            <w:tcBorders>
              <w:bottom w:val="nil"/>
            </w:tcBorders>
          </w:tcPr>
          <w:p w14:paraId="4C849826" w14:textId="77777777" w:rsidR="00203691" w:rsidRPr="00BA340B" w:rsidRDefault="00203691" w:rsidP="00712B5C">
            <w:pPr>
              <w:pStyle w:val="TableBody"/>
            </w:pPr>
            <w:r w:rsidRPr="00BA340B">
              <w:t>70.07</w:t>
            </w:r>
          </w:p>
        </w:tc>
        <w:tc>
          <w:tcPr>
            <w:tcW w:w="2559" w:type="dxa"/>
            <w:tcBorders>
              <w:bottom w:val="nil"/>
            </w:tcBorders>
          </w:tcPr>
          <w:p w14:paraId="15CDC06D" w14:textId="77777777" w:rsidR="00203691" w:rsidRPr="00BA340B" w:rsidRDefault="00203691" w:rsidP="00F21FBA">
            <w:pPr>
              <w:pStyle w:val="TableBody"/>
            </w:pPr>
            <w:r w:rsidRPr="00BA340B">
              <w:t xml:space="preserve">acre-foot per day (acre-ft/d) </w:t>
            </w:r>
          </w:p>
        </w:tc>
      </w:tr>
      <w:tr w:rsidR="00203691" w:rsidRPr="00BA340B" w14:paraId="5E8003C8" w14:textId="77777777" w:rsidTr="00F21FBA">
        <w:trPr>
          <w:cantSplit/>
        </w:trPr>
        <w:tc>
          <w:tcPr>
            <w:tcW w:w="2558" w:type="dxa"/>
            <w:tcBorders>
              <w:top w:val="nil"/>
              <w:bottom w:val="nil"/>
            </w:tcBorders>
          </w:tcPr>
          <w:p w14:paraId="091B3121" w14:textId="77777777" w:rsidR="00203691" w:rsidRPr="00BA340B" w:rsidRDefault="00203691" w:rsidP="00F21FBA">
            <w:pPr>
              <w:pStyle w:val="TableBody"/>
            </w:pPr>
            <w:r w:rsidRPr="00BA340B">
              <w:t>cubic meter per year (m</w:t>
            </w:r>
            <w:r w:rsidRPr="0003326A">
              <w:rPr>
                <w:vertAlign w:val="superscript"/>
              </w:rPr>
              <w:t>3</w:t>
            </w:r>
            <w:r w:rsidRPr="00BA340B">
              <w:t>/yr)</w:t>
            </w:r>
          </w:p>
        </w:tc>
        <w:tc>
          <w:tcPr>
            <w:tcW w:w="2558" w:type="dxa"/>
            <w:tcBorders>
              <w:top w:val="nil"/>
              <w:bottom w:val="nil"/>
            </w:tcBorders>
          </w:tcPr>
          <w:p w14:paraId="73387D1A" w14:textId="77777777" w:rsidR="00203691" w:rsidRPr="00BA340B" w:rsidRDefault="00203691" w:rsidP="00712B5C">
            <w:pPr>
              <w:pStyle w:val="TableBody"/>
            </w:pPr>
            <w:r w:rsidRPr="00BA340B">
              <w:t>0.000811</w:t>
            </w:r>
          </w:p>
        </w:tc>
        <w:tc>
          <w:tcPr>
            <w:tcW w:w="2559" w:type="dxa"/>
            <w:tcBorders>
              <w:top w:val="nil"/>
              <w:bottom w:val="nil"/>
            </w:tcBorders>
          </w:tcPr>
          <w:p w14:paraId="59243E89" w14:textId="77777777" w:rsidR="00203691" w:rsidRPr="00BA340B" w:rsidRDefault="00203691" w:rsidP="00F21FBA">
            <w:pPr>
              <w:pStyle w:val="TableBody"/>
            </w:pPr>
            <w:r w:rsidRPr="00BA340B">
              <w:t xml:space="preserve">acre-foot per year (acre-ft/yr) </w:t>
            </w:r>
          </w:p>
        </w:tc>
      </w:tr>
      <w:tr w:rsidR="00203691" w:rsidRPr="00BA340B" w14:paraId="5AAF5BAB" w14:textId="77777777" w:rsidTr="00F21FBA">
        <w:trPr>
          <w:cantSplit/>
        </w:trPr>
        <w:tc>
          <w:tcPr>
            <w:tcW w:w="2558" w:type="dxa"/>
            <w:tcBorders>
              <w:top w:val="nil"/>
              <w:bottom w:val="nil"/>
            </w:tcBorders>
          </w:tcPr>
          <w:p w14:paraId="701DECB7" w14:textId="77777777" w:rsidR="00203691" w:rsidRPr="00BA340B" w:rsidRDefault="00203691" w:rsidP="00F21FBA">
            <w:pPr>
              <w:pStyle w:val="TableBody"/>
            </w:pPr>
            <w:r w:rsidRPr="00BA340B">
              <w:t>cubic hectometer per year (hm</w:t>
            </w:r>
            <w:r w:rsidRPr="0003326A">
              <w:rPr>
                <w:vertAlign w:val="superscript"/>
              </w:rPr>
              <w:t>3</w:t>
            </w:r>
            <w:r w:rsidRPr="00BA340B">
              <w:t>/yr)</w:t>
            </w:r>
          </w:p>
        </w:tc>
        <w:tc>
          <w:tcPr>
            <w:tcW w:w="2558" w:type="dxa"/>
            <w:tcBorders>
              <w:top w:val="nil"/>
              <w:bottom w:val="nil"/>
            </w:tcBorders>
          </w:tcPr>
          <w:p w14:paraId="470F193F" w14:textId="77777777" w:rsidR="00203691" w:rsidRPr="00BA340B" w:rsidRDefault="00203691" w:rsidP="00712B5C">
            <w:pPr>
              <w:pStyle w:val="TableBody"/>
            </w:pPr>
            <w:r w:rsidRPr="00BA340B">
              <w:t>811.03</w:t>
            </w:r>
          </w:p>
        </w:tc>
        <w:tc>
          <w:tcPr>
            <w:tcW w:w="2559" w:type="dxa"/>
            <w:tcBorders>
              <w:top w:val="nil"/>
              <w:bottom w:val="nil"/>
            </w:tcBorders>
          </w:tcPr>
          <w:p w14:paraId="29486DF7" w14:textId="77777777" w:rsidR="00203691" w:rsidRPr="00BA340B" w:rsidRDefault="00203691" w:rsidP="00F21FBA">
            <w:pPr>
              <w:pStyle w:val="TableBody"/>
            </w:pPr>
            <w:r w:rsidRPr="00BA340B">
              <w:t>acre-foot per year (acre-ft/yr)</w:t>
            </w:r>
          </w:p>
        </w:tc>
      </w:tr>
      <w:tr w:rsidR="00203691" w:rsidRPr="00BA340B" w14:paraId="41FAD46D" w14:textId="77777777" w:rsidTr="00F21FBA">
        <w:trPr>
          <w:cantSplit/>
        </w:trPr>
        <w:tc>
          <w:tcPr>
            <w:tcW w:w="2558" w:type="dxa"/>
            <w:tcBorders>
              <w:top w:val="nil"/>
              <w:bottom w:val="nil"/>
            </w:tcBorders>
          </w:tcPr>
          <w:p w14:paraId="145C9F24" w14:textId="77777777" w:rsidR="00203691" w:rsidRPr="00BA340B" w:rsidRDefault="00203691" w:rsidP="00F21FBA">
            <w:pPr>
              <w:pStyle w:val="TableBody"/>
            </w:pPr>
            <w:r w:rsidRPr="00BA340B">
              <w:t>meter per second (m/s)</w:t>
            </w:r>
          </w:p>
        </w:tc>
        <w:tc>
          <w:tcPr>
            <w:tcW w:w="2558" w:type="dxa"/>
            <w:tcBorders>
              <w:top w:val="nil"/>
              <w:bottom w:val="nil"/>
            </w:tcBorders>
          </w:tcPr>
          <w:p w14:paraId="4051F0C2" w14:textId="77777777" w:rsidR="00203691" w:rsidRPr="00BA340B" w:rsidRDefault="00203691" w:rsidP="00712B5C">
            <w:pPr>
              <w:pStyle w:val="TableBody"/>
            </w:pPr>
            <w:r w:rsidRPr="00BA340B">
              <w:t>3.281</w:t>
            </w:r>
          </w:p>
        </w:tc>
        <w:tc>
          <w:tcPr>
            <w:tcW w:w="2559" w:type="dxa"/>
            <w:tcBorders>
              <w:top w:val="nil"/>
              <w:bottom w:val="nil"/>
            </w:tcBorders>
          </w:tcPr>
          <w:p w14:paraId="228E23A9" w14:textId="77777777" w:rsidR="00203691" w:rsidRPr="00BA340B" w:rsidRDefault="00203691" w:rsidP="00F21FBA">
            <w:pPr>
              <w:pStyle w:val="TableBody"/>
            </w:pPr>
            <w:r w:rsidRPr="00BA340B">
              <w:t xml:space="preserve">foot per second (ft/s) </w:t>
            </w:r>
          </w:p>
        </w:tc>
      </w:tr>
      <w:tr w:rsidR="00203691" w:rsidRPr="00BA340B" w14:paraId="3EEB44E6" w14:textId="77777777" w:rsidTr="00F21FBA">
        <w:trPr>
          <w:cantSplit/>
        </w:trPr>
        <w:tc>
          <w:tcPr>
            <w:tcW w:w="2558" w:type="dxa"/>
            <w:tcBorders>
              <w:top w:val="nil"/>
              <w:bottom w:val="nil"/>
            </w:tcBorders>
          </w:tcPr>
          <w:p w14:paraId="4EB41EC2" w14:textId="77777777" w:rsidR="00203691" w:rsidRPr="00BA340B" w:rsidRDefault="00203691" w:rsidP="00F21FBA">
            <w:pPr>
              <w:pStyle w:val="TableBody"/>
            </w:pPr>
            <w:r w:rsidRPr="00BA340B">
              <w:t>meter per minute (m/min)</w:t>
            </w:r>
          </w:p>
        </w:tc>
        <w:tc>
          <w:tcPr>
            <w:tcW w:w="2558" w:type="dxa"/>
            <w:tcBorders>
              <w:top w:val="nil"/>
              <w:bottom w:val="nil"/>
            </w:tcBorders>
          </w:tcPr>
          <w:p w14:paraId="6F0CC50D" w14:textId="77777777" w:rsidR="00203691" w:rsidRPr="00BA340B" w:rsidRDefault="00203691" w:rsidP="00712B5C">
            <w:pPr>
              <w:pStyle w:val="TableBody"/>
            </w:pPr>
            <w:r w:rsidRPr="00BA340B">
              <w:t>3.281</w:t>
            </w:r>
          </w:p>
        </w:tc>
        <w:tc>
          <w:tcPr>
            <w:tcW w:w="2559" w:type="dxa"/>
            <w:tcBorders>
              <w:top w:val="nil"/>
              <w:bottom w:val="nil"/>
            </w:tcBorders>
          </w:tcPr>
          <w:p w14:paraId="57F075FD" w14:textId="77777777" w:rsidR="00203691" w:rsidRPr="00BA340B" w:rsidRDefault="00203691" w:rsidP="00F21FBA">
            <w:pPr>
              <w:pStyle w:val="TableBody"/>
            </w:pPr>
            <w:r w:rsidRPr="00BA340B">
              <w:t xml:space="preserve">foot per minute (ft/min) </w:t>
            </w:r>
          </w:p>
        </w:tc>
      </w:tr>
      <w:tr w:rsidR="00203691" w:rsidRPr="00BA340B" w14:paraId="2C525E30" w14:textId="77777777" w:rsidTr="00F21FBA">
        <w:trPr>
          <w:cantSplit/>
        </w:trPr>
        <w:tc>
          <w:tcPr>
            <w:tcW w:w="2558" w:type="dxa"/>
            <w:tcBorders>
              <w:top w:val="nil"/>
              <w:bottom w:val="nil"/>
            </w:tcBorders>
          </w:tcPr>
          <w:p w14:paraId="62BF0B29" w14:textId="77777777" w:rsidR="00203691" w:rsidRPr="00BA340B" w:rsidRDefault="00203691" w:rsidP="00F21FBA">
            <w:pPr>
              <w:pStyle w:val="TableBody"/>
            </w:pPr>
            <w:r w:rsidRPr="00BA340B">
              <w:t>meter per hour (m/h)</w:t>
            </w:r>
          </w:p>
        </w:tc>
        <w:tc>
          <w:tcPr>
            <w:tcW w:w="2558" w:type="dxa"/>
            <w:tcBorders>
              <w:top w:val="nil"/>
              <w:bottom w:val="nil"/>
            </w:tcBorders>
          </w:tcPr>
          <w:p w14:paraId="561C1B67" w14:textId="77777777" w:rsidR="00203691" w:rsidRPr="00BA340B" w:rsidRDefault="00203691" w:rsidP="00712B5C">
            <w:pPr>
              <w:pStyle w:val="TableBody"/>
            </w:pPr>
            <w:r w:rsidRPr="00BA340B">
              <w:t>3.281</w:t>
            </w:r>
          </w:p>
        </w:tc>
        <w:tc>
          <w:tcPr>
            <w:tcW w:w="2559" w:type="dxa"/>
            <w:tcBorders>
              <w:top w:val="nil"/>
              <w:bottom w:val="nil"/>
            </w:tcBorders>
          </w:tcPr>
          <w:p w14:paraId="0F5433C2" w14:textId="77777777" w:rsidR="00203691" w:rsidRPr="00BA340B" w:rsidRDefault="00203691" w:rsidP="00F21FBA">
            <w:pPr>
              <w:pStyle w:val="TableBody"/>
            </w:pPr>
            <w:r w:rsidRPr="00BA340B">
              <w:t>foot per hour (ft/h)</w:t>
            </w:r>
          </w:p>
        </w:tc>
      </w:tr>
      <w:tr w:rsidR="00203691" w:rsidRPr="00BA340B" w14:paraId="597FACA4" w14:textId="77777777" w:rsidTr="00F21FBA">
        <w:trPr>
          <w:cantSplit/>
        </w:trPr>
        <w:tc>
          <w:tcPr>
            <w:tcW w:w="2558" w:type="dxa"/>
            <w:tcBorders>
              <w:top w:val="nil"/>
              <w:bottom w:val="nil"/>
            </w:tcBorders>
          </w:tcPr>
          <w:p w14:paraId="6EF42091" w14:textId="77777777" w:rsidR="00203691" w:rsidRPr="00BA340B" w:rsidRDefault="00203691" w:rsidP="00F21FBA">
            <w:pPr>
              <w:pStyle w:val="TableBody"/>
            </w:pPr>
            <w:r w:rsidRPr="00BA340B">
              <w:lastRenderedPageBreak/>
              <w:t>meter per day (m/d)</w:t>
            </w:r>
          </w:p>
        </w:tc>
        <w:tc>
          <w:tcPr>
            <w:tcW w:w="2558" w:type="dxa"/>
            <w:tcBorders>
              <w:top w:val="nil"/>
              <w:bottom w:val="nil"/>
            </w:tcBorders>
          </w:tcPr>
          <w:p w14:paraId="26923F4E" w14:textId="77777777" w:rsidR="00203691" w:rsidRPr="00BA340B" w:rsidRDefault="00203691" w:rsidP="00712B5C">
            <w:pPr>
              <w:pStyle w:val="TableBody"/>
            </w:pPr>
            <w:r w:rsidRPr="00BA340B">
              <w:t>3.281</w:t>
            </w:r>
          </w:p>
        </w:tc>
        <w:tc>
          <w:tcPr>
            <w:tcW w:w="2559" w:type="dxa"/>
            <w:tcBorders>
              <w:top w:val="nil"/>
              <w:bottom w:val="nil"/>
            </w:tcBorders>
          </w:tcPr>
          <w:p w14:paraId="53936B13" w14:textId="77777777" w:rsidR="00203691" w:rsidRPr="00BA340B" w:rsidRDefault="00203691" w:rsidP="00F21FBA">
            <w:pPr>
              <w:pStyle w:val="TableBody"/>
            </w:pPr>
            <w:r w:rsidRPr="00BA340B">
              <w:t>foot per day (ft/d)</w:t>
            </w:r>
          </w:p>
        </w:tc>
      </w:tr>
      <w:tr w:rsidR="00203691" w:rsidRPr="00BA340B" w14:paraId="376BC249" w14:textId="77777777" w:rsidTr="00F21FBA">
        <w:trPr>
          <w:cantSplit/>
        </w:trPr>
        <w:tc>
          <w:tcPr>
            <w:tcW w:w="2558" w:type="dxa"/>
            <w:tcBorders>
              <w:top w:val="nil"/>
              <w:bottom w:val="nil"/>
            </w:tcBorders>
          </w:tcPr>
          <w:p w14:paraId="120EE945" w14:textId="77777777" w:rsidR="00203691" w:rsidRPr="00BA340B" w:rsidRDefault="00203691" w:rsidP="00F21FBA">
            <w:pPr>
              <w:pStyle w:val="TableBody"/>
            </w:pPr>
            <w:r w:rsidRPr="00BA340B">
              <w:t>meter per year (m/yr)</w:t>
            </w:r>
          </w:p>
        </w:tc>
        <w:tc>
          <w:tcPr>
            <w:tcW w:w="2558" w:type="dxa"/>
            <w:tcBorders>
              <w:top w:val="nil"/>
              <w:bottom w:val="nil"/>
            </w:tcBorders>
          </w:tcPr>
          <w:p w14:paraId="6117BFCD" w14:textId="77777777" w:rsidR="00203691" w:rsidRPr="00BA340B" w:rsidRDefault="00203691" w:rsidP="00712B5C">
            <w:pPr>
              <w:pStyle w:val="TableBody"/>
            </w:pPr>
            <w:r w:rsidRPr="00BA340B">
              <w:t>3.281</w:t>
            </w:r>
          </w:p>
        </w:tc>
        <w:tc>
          <w:tcPr>
            <w:tcW w:w="2559" w:type="dxa"/>
            <w:tcBorders>
              <w:top w:val="nil"/>
              <w:bottom w:val="nil"/>
            </w:tcBorders>
          </w:tcPr>
          <w:p w14:paraId="6725FD1A" w14:textId="77777777" w:rsidR="00203691" w:rsidRPr="00BA340B" w:rsidRDefault="00203691" w:rsidP="00F21FBA">
            <w:pPr>
              <w:pStyle w:val="TableBody"/>
            </w:pPr>
            <w:r w:rsidRPr="00BA340B">
              <w:t xml:space="preserve">foot per year ft/yr) </w:t>
            </w:r>
          </w:p>
        </w:tc>
      </w:tr>
      <w:tr w:rsidR="00203691" w:rsidRPr="00BA340B" w14:paraId="3191FE57" w14:textId="77777777" w:rsidTr="00F21FBA">
        <w:trPr>
          <w:cantSplit/>
        </w:trPr>
        <w:tc>
          <w:tcPr>
            <w:tcW w:w="2558" w:type="dxa"/>
            <w:tcBorders>
              <w:top w:val="nil"/>
              <w:bottom w:val="nil"/>
            </w:tcBorders>
          </w:tcPr>
          <w:p w14:paraId="3C093D51" w14:textId="77777777" w:rsidR="00203691" w:rsidRPr="00BA340B" w:rsidRDefault="00203691" w:rsidP="00F21FBA">
            <w:pPr>
              <w:pStyle w:val="TableBody"/>
            </w:pPr>
            <w:r w:rsidRPr="00BA340B">
              <w:t>cubic meter per second (m</w:t>
            </w:r>
            <w:r w:rsidRPr="0003326A">
              <w:rPr>
                <w:vertAlign w:val="superscript"/>
              </w:rPr>
              <w:t>3</w:t>
            </w:r>
            <w:r w:rsidRPr="00BA340B">
              <w:t>/s)</w:t>
            </w:r>
          </w:p>
        </w:tc>
        <w:tc>
          <w:tcPr>
            <w:tcW w:w="2558" w:type="dxa"/>
            <w:tcBorders>
              <w:top w:val="nil"/>
              <w:bottom w:val="nil"/>
            </w:tcBorders>
          </w:tcPr>
          <w:p w14:paraId="49821B40" w14:textId="77777777" w:rsidR="00203691" w:rsidRPr="00BA340B" w:rsidRDefault="00203691" w:rsidP="00712B5C">
            <w:pPr>
              <w:pStyle w:val="TableBody"/>
            </w:pPr>
            <w:r w:rsidRPr="00BA340B">
              <w:t>35.31</w:t>
            </w:r>
          </w:p>
        </w:tc>
        <w:tc>
          <w:tcPr>
            <w:tcW w:w="2559" w:type="dxa"/>
            <w:tcBorders>
              <w:top w:val="nil"/>
              <w:bottom w:val="nil"/>
            </w:tcBorders>
          </w:tcPr>
          <w:p w14:paraId="1F5C4363" w14:textId="77777777" w:rsidR="00203691" w:rsidRPr="00BA340B" w:rsidRDefault="00203691" w:rsidP="00F21FBA">
            <w:pPr>
              <w:pStyle w:val="TableBody"/>
            </w:pPr>
            <w:r w:rsidRPr="00BA340B">
              <w:t>cubic foot per second (ft</w:t>
            </w:r>
            <w:r w:rsidRPr="0003326A">
              <w:rPr>
                <w:vertAlign w:val="superscript"/>
              </w:rPr>
              <w:t>3</w:t>
            </w:r>
            <w:r w:rsidRPr="00BA340B">
              <w:t>/s)</w:t>
            </w:r>
          </w:p>
        </w:tc>
      </w:tr>
      <w:tr w:rsidR="00203691" w:rsidRPr="00BA340B" w14:paraId="7D09AE41" w14:textId="77777777" w:rsidTr="00F21FBA">
        <w:trPr>
          <w:cantSplit/>
        </w:trPr>
        <w:tc>
          <w:tcPr>
            <w:tcW w:w="2558" w:type="dxa"/>
            <w:tcBorders>
              <w:top w:val="nil"/>
              <w:bottom w:val="nil"/>
            </w:tcBorders>
          </w:tcPr>
          <w:p w14:paraId="48D70D1F" w14:textId="77777777" w:rsidR="00203691" w:rsidRPr="00BA340B" w:rsidRDefault="00203691" w:rsidP="00F21FBA">
            <w:pPr>
              <w:pStyle w:val="TableBody"/>
            </w:pPr>
            <w:r w:rsidRPr="00BA340B">
              <w:t>cubic meter per second per square kilometer ([m</w:t>
            </w:r>
            <w:r w:rsidRPr="0003326A">
              <w:rPr>
                <w:vertAlign w:val="superscript"/>
              </w:rPr>
              <w:t>3</w:t>
            </w:r>
            <w:r w:rsidRPr="00BA340B">
              <w:t>/s]/km</w:t>
            </w:r>
            <w:r w:rsidRPr="0003326A">
              <w:rPr>
                <w:vertAlign w:val="superscript"/>
              </w:rPr>
              <w:t>2</w:t>
            </w:r>
            <w:r w:rsidRPr="00BA340B">
              <w:t>)</w:t>
            </w:r>
          </w:p>
        </w:tc>
        <w:tc>
          <w:tcPr>
            <w:tcW w:w="2558" w:type="dxa"/>
            <w:tcBorders>
              <w:top w:val="nil"/>
              <w:bottom w:val="nil"/>
            </w:tcBorders>
          </w:tcPr>
          <w:p w14:paraId="7D1F3CF8" w14:textId="77777777" w:rsidR="00203691" w:rsidRPr="00BA340B" w:rsidRDefault="00203691" w:rsidP="00712B5C">
            <w:pPr>
              <w:pStyle w:val="TableBody"/>
            </w:pPr>
            <w:r w:rsidRPr="00BA340B">
              <w:t>91.49</w:t>
            </w:r>
          </w:p>
        </w:tc>
        <w:tc>
          <w:tcPr>
            <w:tcW w:w="2559" w:type="dxa"/>
            <w:tcBorders>
              <w:top w:val="nil"/>
              <w:bottom w:val="nil"/>
            </w:tcBorders>
          </w:tcPr>
          <w:p w14:paraId="3272E6B6" w14:textId="77777777" w:rsidR="00203691" w:rsidRPr="00BA340B" w:rsidRDefault="00203691" w:rsidP="00F21FBA">
            <w:pPr>
              <w:pStyle w:val="TableBody"/>
            </w:pPr>
            <w:r w:rsidRPr="00BA340B">
              <w:t>cubic foot per second per square mile ([ft</w:t>
            </w:r>
            <w:r w:rsidRPr="0003326A">
              <w:rPr>
                <w:vertAlign w:val="superscript"/>
              </w:rPr>
              <w:t>3</w:t>
            </w:r>
            <w:r w:rsidRPr="00BA340B">
              <w:t>/s]/mi</w:t>
            </w:r>
            <w:r w:rsidRPr="0003326A">
              <w:rPr>
                <w:vertAlign w:val="superscript"/>
              </w:rPr>
              <w:t>2</w:t>
            </w:r>
            <w:r w:rsidRPr="00BA340B">
              <w:t>)</w:t>
            </w:r>
          </w:p>
        </w:tc>
      </w:tr>
      <w:tr w:rsidR="00203691" w:rsidRPr="00BA340B" w14:paraId="426BF7EC" w14:textId="77777777" w:rsidTr="00F21FBA">
        <w:trPr>
          <w:cantSplit/>
        </w:trPr>
        <w:tc>
          <w:tcPr>
            <w:tcW w:w="2558" w:type="dxa"/>
            <w:tcBorders>
              <w:top w:val="nil"/>
              <w:bottom w:val="nil"/>
            </w:tcBorders>
          </w:tcPr>
          <w:p w14:paraId="776EE128" w14:textId="77777777" w:rsidR="00203691" w:rsidRPr="00BA340B" w:rsidRDefault="00203691" w:rsidP="00F21FBA">
            <w:pPr>
              <w:pStyle w:val="TableBody"/>
            </w:pPr>
            <w:r w:rsidRPr="00BA340B">
              <w:t>cubic meter per day (m</w:t>
            </w:r>
            <w:r w:rsidRPr="0003326A">
              <w:rPr>
                <w:vertAlign w:val="superscript"/>
              </w:rPr>
              <w:t>3</w:t>
            </w:r>
            <w:r w:rsidRPr="00BA340B">
              <w:t>/d)</w:t>
            </w:r>
          </w:p>
        </w:tc>
        <w:tc>
          <w:tcPr>
            <w:tcW w:w="2558" w:type="dxa"/>
            <w:tcBorders>
              <w:top w:val="nil"/>
              <w:bottom w:val="nil"/>
            </w:tcBorders>
          </w:tcPr>
          <w:p w14:paraId="73C0AAF2" w14:textId="77777777" w:rsidR="00203691" w:rsidRPr="00BA340B" w:rsidRDefault="00203691" w:rsidP="00712B5C">
            <w:pPr>
              <w:pStyle w:val="TableBody"/>
            </w:pPr>
            <w:r w:rsidRPr="00BA340B">
              <w:t>35.31</w:t>
            </w:r>
          </w:p>
        </w:tc>
        <w:tc>
          <w:tcPr>
            <w:tcW w:w="2559" w:type="dxa"/>
            <w:tcBorders>
              <w:top w:val="nil"/>
              <w:bottom w:val="nil"/>
            </w:tcBorders>
          </w:tcPr>
          <w:p w14:paraId="416B0A03" w14:textId="77777777" w:rsidR="00203691" w:rsidRPr="00BA340B" w:rsidRDefault="00203691" w:rsidP="00F21FBA">
            <w:pPr>
              <w:pStyle w:val="TableBody"/>
            </w:pPr>
            <w:r w:rsidRPr="00BA340B">
              <w:t>cubic foot per day (ft</w:t>
            </w:r>
            <w:r w:rsidRPr="0003326A">
              <w:rPr>
                <w:vertAlign w:val="superscript"/>
              </w:rPr>
              <w:t>3</w:t>
            </w:r>
            <w:r w:rsidRPr="00BA340B">
              <w:t xml:space="preserve">/d) </w:t>
            </w:r>
          </w:p>
        </w:tc>
      </w:tr>
      <w:tr w:rsidR="00203691" w:rsidRPr="00BA340B" w14:paraId="07B91549" w14:textId="77777777" w:rsidTr="00F21FBA">
        <w:trPr>
          <w:cantSplit/>
        </w:trPr>
        <w:tc>
          <w:tcPr>
            <w:tcW w:w="2558" w:type="dxa"/>
            <w:tcBorders>
              <w:top w:val="nil"/>
              <w:bottom w:val="nil"/>
            </w:tcBorders>
          </w:tcPr>
          <w:p w14:paraId="4312E29D" w14:textId="77777777" w:rsidR="00203691" w:rsidRPr="00BA340B" w:rsidRDefault="00203691" w:rsidP="00F21FBA">
            <w:pPr>
              <w:pStyle w:val="TableBody"/>
            </w:pPr>
            <w:r w:rsidRPr="00BA340B">
              <w:t>liter per second (L/s)</w:t>
            </w:r>
          </w:p>
        </w:tc>
        <w:tc>
          <w:tcPr>
            <w:tcW w:w="2558" w:type="dxa"/>
            <w:tcBorders>
              <w:top w:val="nil"/>
              <w:bottom w:val="nil"/>
            </w:tcBorders>
          </w:tcPr>
          <w:p w14:paraId="468C7E9F" w14:textId="77777777" w:rsidR="00203691" w:rsidRPr="00BA340B" w:rsidRDefault="00203691" w:rsidP="00712B5C">
            <w:pPr>
              <w:pStyle w:val="TableBody"/>
            </w:pPr>
            <w:r w:rsidRPr="00BA340B">
              <w:t>15.85</w:t>
            </w:r>
          </w:p>
        </w:tc>
        <w:tc>
          <w:tcPr>
            <w:tcW w:w="2559" w:type="dxa"/>
            <w:tcBorders>
              <w:top w:val="nil"/>
              <w:bottom w:val="nil"/>
            </w:tcBorders>
          </w:tcPr>
          <w:p w14:paraId="16E26E95" w14:textId="77777777" w:rsidR="00203691" w:rsidRPr="00BA340B" w:rsidRDefault="00203691" w:rsidP="00F21FBA">
            <w:pPr>
              <w:pStyle w:val="TableBody"/>
            </w:pPr>
            <w:r w:rsidRPr="00BA340B">
              <w:t xml:space="preserve">gallon per minute (gal/min) </w:t>
            </w:r>
          </w:p>
        </w:tc>
      </w:tr>
      <w:tr w:rsidR="00203691" w:rsidRPr="00BA340B" w14:paraId="13CE8FD9" w14:textId="77777777" w:rsidTr="00F21FBA">
        <w:trPr>
          <w:cantSplit/>
        </w:trPr>
        <w:tc>
          <w:tcPr>
            <w:tcW w:w="2558" w:type="dxa"/>
            <w:tcBorders>
              <w:top w:val="nil"/>
              <w:bottom w:val="nil"/>
            </w:tcBorders>
          </w:tcPr>
          <w:p w14:paraId="62724C1D" w14:textId="77777777" w:rsidR="00203691" w:rsidRPr="00BA340B" w:rsidRDefault="00203691" w:rsidP="00F21FBA">
            <w:pPr>
              <w:pStyle w:val="TableBody"/>
            </w:pPr>
            <w:r w:rsidRPr="00BA340B">
              <w:t>cubic meter per day (m</w:t>
            </w:r>
            <w:r w:rsidRPr="0003326A">
              <w:rPr>
                <w:vertAlign w:val="superscript"/>
              </w:rPr>
              <w:t>3</w:t>
            </w:r>
            <w:r w:rsidRPr="00BA340B">
              <w:t>/d)</w:t>
            </w:r>
          </w:p>
        </w:tc>
        <w:tc>
          <w:tcPr>
            <w:tcW w:w="2558" w:type="dxa"/>
            <w:tcBorders>
              <w:top w:val="nil"/>
              <w:bottom w:val="nil"/>
            </w:tcBorders>
          </w:tcPr>
          <w:p w14:paraId="55DED006" w14:textId="77777777" w:rsidR="00203691" w:rsidRPr="00BA340B" w:rsidRDefault="00203691" w:rsidP="00712B5C">
            <w:pPr>
              <w:pStyle w:val="TableBody"/>
            </w:pPr>
            <w:r w:rsidRPr="00BA340B">
              <w:t>264.2</w:t>
            </w:r>
          </w:p>
        </w:tc>
        <w:tc>
          <w:tcPr>
            <w:tcW w:w="2559" w:type="dxa"/>
            <w:tcBorders>
              <w:top w:val="nil"/>
              <w:bottom w:val="nil"/>
            </w:tcBorders>
          </w:tcPr>
          <w:p w14:paraId="5FDF47B3" w14:textId="77777777" w:rsidR="00203691" w:rsidRPr="00BA340B" w:rsidRDefault="00203691" w:rsidP="00F21FBA">
            <w:pPr>
              <w:pStyle w:val="TableBody"/>
            </w:pPr>
            <w:r w:rsidRPr="00BA340B">
              <w:t xml:space="preserve">gallon per day (gal/d) </w:t>
            </w:r>
          </w:p>
        </w:tc>
      </w:tr>
      <w:tr w:rsidR="00203691" w:rsidRPr="00BA340B" w14:paraId="61EE92F6" w14:textId="77777777" w:rsidTr="00F21FBA">
        <w:trPr>
          <w:cantSplit/>
        </w:trPr>
        <w:tc>
          <w:tcPr>
            <w:tcW w:w="2558" w:type="dxa"/>
            <w:tcBorders>
              <w:top w:val="nil"/>
              <w:bottom w:val="nil"/>
            </w:tcBorders>
          </w:tcPr>
          <w:p w14:paraId="767127EF" w14:textId="77777777" w:rsidR="00203691" w:rsidRPr="00BA340B" w:rsidRDefault="00203691" w:rsidP="00F21FBA">
            <w:pPr>
              <w:pStyle w:val="TableBody"/>
            </w:pPr>
            <w:r w:rsidRPr="00BA340B">
              <w:t>cubic meter per day per square kilometer ([m</w:t>
            </w:r>
            <w:r w:rsidRPr="0003326A">
              <w:rPr>
                <w:vertAlign w:val="superscript"/>
              </w:rPr>
              <w:t>3</w:t>
            </w:r>
            <w:r w:rsidRPr="00BA340B">
              <w:t>/d]/km</w:t>
            </w:r>
            <w:r w:rsidRPr="0003326A">
              <w:rPr>
                <w:vertAlign w:val="superscript"/>
              </w:rPr>
              <w:t>2</w:t>
            </w:r>
            <w:r w:rsidRPr="00BA340B">
              <w:t>)</w:t>
            </w:r>
          </w:p>
        </w:tc>
        <w:tc>
          <w:tcPr>
            <w:tcW w:w="2558" w:type="dxa"/>
            <w:tcBorders>
              <w:top w:val="nil"/>
              <w:bottom w:val="nil"/>
            </w:tcBorders>
          </w:tcPr>
          <w:p w14:paraId="6E15ED30" w14:textId="77777777" w:rsidR="00203691" w:rsidRPr="00BA340B" w:rsidRDefault="00203691" w:rsidP="00712B5C">
            <w:pPr>
              <w:pStyle w:val="TableBody"/>
            </w:pPr>
            <w:r w:rsidRPr="00BA340B">
              <w:t>684.28</w:t>
            </w:r>
          </w:p>
        </w:tc>
        <w:tc>
          <w:tcPr>
            <w:tcW w:w="2559" w:type="dxa"/>
            <w:tcBorders>
              <w:top w:val="nil"/>
              <w:bottom w:val="nil"/>
            </w:tcBorders>
          </w:tcPr>
          <w:p w14:paraId="5A3943E5" w14:textId="77777777" w:rsidR="00203691" w:rsidRPr="00BA340B" w:rsidRDefault="00203691" w:rsidP="00F21FBA">
            <w:pPr>
              <w:pStyle w:val="TableBody"/>
            </w:pPr>
            <w:r w:rsidRPr="00BA340B">
              <w:t>gallon per day per square mile ([gal/d]/mi</w:t>
            </w:r>
            <w:r w:rsidRPr="0003326A">
              <w:rPr>
                <w:vertAlign w:val="superscript"/>
              </w:rPr>
              <w:t>2</w:t>
            </w:r>
            <w:r w:rsidRPr="00BA340B">
              <w:t>)</w:t>
            </w:r>
          </w:p>
        </w:tc>
      </w:tr>
      <w:tr w:rsidR="00203691" w:rsidRPr="00BA340B" w14:paraId="695BD09F" w14:textId="77777777" w:rsidTr="00F21FBA">
        <w:trPr>
          <w:cantSplit/>
        </w:trPr>
        <w:tc>
          <w:tcPr>
            <w:tcW w:w="2558" w:type="dxa"/>
            <w:tcBorders>
              <w:top w:val="nil"/>
              <w:bottom w:val="nil"/>
            </w:tcBorders>
          </w:tcPr>
          <w:p w14:paraId="1888E15A" w14:textId="77777777" w:rsidR="00203691" w:rsidRPr="00BA340B" w:rsidRDefault="00203691" w:rsidP="00F21FBA">
            <w:pPr>
              <w:pStyle w:val="TableBody"/>
            </w:pPr>
            <w:r w:rsidRPr="00BA340B">
              <w:t>cubic meter per second (m</w:t>
            </w:r>
            <w:r w:rsidRPr="0003326A">
              <w:rPr>
                <w:vertAlign w:val="superscript"/>
              </w:rPr>
              <w:t>3</w:t>
            </w:r>
            <w:r w:rsidRPr="00BA340B">
              <w:t>/s)</w:t>
            </w:r>
          </w:p>
        </w:tc>
        <w:tc>
          <w:tcPr>
            <w:tcW w:w="2558" w:type="dxa"/>
            <w:tcBorders>
              <w:top w:val="nil"/>
              <w:bottom w:val="nil"/>
            </w:tcBorders>
          </w:tcPr>
          <w:p w14:paraId="563A0872" w14:textId="77777777" w:rsidR="00203691" w:rsidRPr="00BA340B" w:rsidRDefault="00203691" w:rsidP="00712B5C">
            <w:pPr>
              <w:pStyle w:val="TableBody"/>
            </w:pPr>
            <w:r w:rsidRPr="00BA340B">
              <w:t>22.83</w:t>
            </w:r>
          </w:p>
        </w:tc>
        <w:tc>
          <w:tcPr>
            <w:tcW w:w="2559" w:type="dxa"/>
            <w:tcBorders>
              <w:top w:val="nil"/>
              <w:bottom w:val="nil"/>
            </w:tcBorders>
          </w:tcPr>
          <w:p w14:paraId="0B62D396" w14:textId="77777777" w:rsidR="00203691" w:rsidRPr="00BA340B" w:rsidRDefault="00203691" w:rsidP="00F21FBA">
            <w:pPr>
              <w:pStyle w:val="TableBody"/>
            </w:pPr>
            <w:r w:rsidRPr="00BA340B">
              <w:t>million gallons per day (</w:t>
            </w:r>
            <w:proofErr w:type="spellStart"/>
            <w:r w:rsidRPr="00BA340B">
              <w:t>Mgal</w:t>
            </w:r>
            <w:proofErr w:type="spellEnd"/>
            <w:r w:rsidRPr="00BA340B">
              <w:t xml:space="preserve">/d) </w:t>
            </w:r>
          </w:p>
        </w:tc>
      </w:tr>
      <w:tr w:rsidR="00203691" w:rsidRPr="00BA340B" w14:paraId="718C40C4" w14:textId="77777777" w:rsidTr="00F21FBA">
        <w:trPr>
          <w:cantSplit/>
        </w:trPr>
        <w:tc>
          <w:tcPr>
            <w:tcW w:w="2558" w:type="dxa"/>
            <w:tcBorders>
              <w:top w:val="nil"/>
              <w:bottom w:val="nil"/>
            </w:tcBorders>
          </w:tcPr>
          <w:p w14:paraId="025F4745" w14:textId="77777777" w:rsidR="00203691" w:rsidRPr="00BA340B" w:rsidRDefault="00203691" w:rsidP="00F21FBA">
            <w:pPr>
              <w:pStyle w:val="TableBody"/>
            </w:pPr>
            <w:r w:rsidRPr="00BA340B">
              <w:t>cubic meter per day per square kilometer ([m</w:t>
            </w:r>
            <w:r w:rsidRPr="0003326A">
              <w:rPr>
                <w:vertAlign w:val="superscript"/>
              </w:rPr>
              <w:t>3</w:t>
            </w:r>
            <w:r w:rsidRPr="00BA340B">
              <w:t>/d]/km</w:t>
            </w:r>
            <w:r w:rsidRPr="0003326A">
              <w:rPr>
                <w:vertAlign w:val="superscript"/>
              </w:rPr>
              <w:t>2</w:t>
            </w:r>
            <w:r w:rsidRPr="00BA340B">
              <w:t>)</w:t>
            </w:r>
          </w:p>
        </w:tc>
        <w:tc>
          <w:tcPr>
            <w:tcW w:w="2558" w:type="dxa"/>
            <w:tcBorders>
              <w:top w:val="nil"/>
              <w:bottom w:val="nil"/>
            </w:tcBorders>
          </w:tcPr>
          <w:p w14:paraId="1C3DDDF0" w14:textId="77777777" w:rsidR="00203691" w:rsidRPr="00BA340B" w:rsidRDefault="00203691" w:rsidP="00712B5C">
            <w:pPr>
              <w:pStyle w:val="TableBody"/>
            </w:pPr>
            <w:r w:rsidRPr="00BA340B">
              <w:t>0.0006844</w:t>
            </w:r>
          </w:p>
        </w:tc>
        <w:tc>
          <w:tcPr>
            <w:tcW w:w="2559" w:type="dxa"/>
            <w:tcBorders>
              <w:top w:val="nil"/>
              <w:bottom w:val="nil"/>
            </w:tcBorders>
          </w:tcPr>
          <w:p w14:paraId="0C77F8B0" w14:textId="77777777" w:rsidR="00203691" w:rsidRPr="00BA340B" w:rsidRDefault="00203691" w:rsidP="00F21FBA">
            <w:pPr>
              <w:pStyle w:val="TableBody"/>
            </w:pPr>
            <w:r w:rsidRPr="00BA340B">
              <w:t>million gallons per day per square mile ([</w:t>
            </w:r>
            <w:proofErr w:type="spellStart"/>
            <w:r w:rsidRPr="00BA340B">
              <w:t>Mgal</w:t>
            </w:r>
            <w:proofErr w:type="spellEnd"/>
            <w:r w:rsidRPr="00BA340B">
              <w:t>/d]/mi</w:t>
            </w:r>
            <w:r w:rsidRPr="0003326A">
              <w:rPr>
                <w:vertAlign w:val="superscript"/>
              </w:rPr>
              <w:t>2</w:t>
            </w:r>
            <w:r w:rsidRPr="00BA340B">
              <w:t>)</w:t>
            </w:r>
          </w:p>
        </w:tc>
      </w:tr>
      <w:tr w:rsidR="00203691" w:rsidRPr="00BA340B" w14:paraId="1AD1944B" w14:textId="77777777" w:rsidTr="00F21FBA">
        <w:trPr>
          <w:cantSplit/>
        </w:trPr>
        <w:tc>
          <w:tcPr>
            <w:tcW w:w="2558" w:type="dxa"/>
            <w:tcBorders>
              <w:top w:val="nil"/>
              <w:bottom w:val="nil"/>
            </w:tcBorders>
          </w:tcPr>
          <w:p w14:paraId="2C9D8E53" w14:textId="77777777" w:rsidR="00203691" w:rsidRPr="00BA340B" w:rsidRDefault="00203691" w:rsidP="00F21FBA">
            <w:pPr>
              <w:pStyle w:val="TableBody"/>
            </w:pPr>
            <w:r w:rsidRPr="00BA340B">
              <w:t>meter per hour (m/h)</w:t>
            </w:r>
          </w:p>
        </w:tc>
        <w:tc>
          <w:tcPr>
            <w:tcW w:w="2558" w:type="dxa"/>
            <w:tcBorders>
              <w:top w:val="nil"/>
              <w:bottom w:val="nil"/>
            </w:tcBorders>
          </w:tcPr>
          <w:p w14:paraId="3369C804" w14:textId="77777777" w:rsidR="00203691" w:rsidRPr="00BA340B" w:rsidRDefault="00203691" w:rsidP="00712B5C">
            <w:pPr>
              <w:pStyle w:val="TableBody"/>
            </w:pPr>
            <w:r w:rsidRPr="00BA340B">
              <w:t>39.37</w:t>
            </w:r>
          </w:p>
        </w:tc>
        <w:tc>
          <w:tcPr>
            <w:tcW w:w="2559" w:type="dxa"/>
            <w:tcBorders>
              <w:top w:val="nil"/>
              <w:bottom w:val="nil"/>
            </w:tcBorders>
          </w:tcPr>
          <w:p w14:paraId="7C2B0E54" w14:textId="77777777" w:rsidR="00203691" w:rsidRPr="00BA340B" w:rsidRDefault="00203691" w:rsidP="00F21FBA">
            <w:pPr>
              <w:pStyle w:val="TableBody"/>
            </w:pPr>
            <w:r w:rsidRPr="00BA340B">
              <w:t>inch per hour (in/h)</w:t>
            </w:r>
          </w:p>
        </w:tc>
      </w:tr>
      <w:tr w:rsidR="00203691" w:rsidRPr="00BA340B" w14:paraId="277A66D4" w14:textId="77777777" w:rsidTr="00F21FBA">
        <w:trPr>
          <w:cantSplit/>
        </w:trPr>
        <w:tc>
          <w:tcPr>
            <w:tcW w:w="2558" w:type="dxa"/>
            <w:tcBorders>
              <w:top w:val="nil"/>
              <w:bottom w:val="nil"/>
            </w:tcBorders>
          </w:tcPr>
          <w:p w14:paraId="7532CABF" w14:textId="77777777" w:rsidR="00203691" w:rsidRPr="00BA340B" w:rsidRDefault="00203691" w:rsidP="00F21FBA">
            <w:pPr>
              <w:pStyle w:val="TableBody"/>
            </w:pPr>
            <w:proofErr w:type="gramStart"/>
            <w:r w:rsidRPr="00BA340B">
              <w:t>millimeter</w:t>
            </w:r>
            <w:proofErr w:type="gramEnd"/>
            <w:r w:rsidRPr="00BA340B">
              <w:t xml:space="preserve"> per year (mm/yr)</w:t>
            </w:r>
          </w:p>
        </w:tc>
        <w:tc>
          <w:tcPr>
            <w:tcW w:w="2558" w:type="dxa"/>
            <w:tcBorders>
              <w:top w:val="nil"/>
              <w:bottom w:val="nil"/>
            </w:tcBorders>
          </w:tcPr>
          <w:p w14:paraId="389908DC" w14:textId="77777777" w:rsidR="00203691" w:rsidRPr="00BA340B" w:rsidRDefault="00203691" w:rsidP="00712B5C">
            <w:pPr>
              <w:pStyle w:val="TableBody"/>
            </w:pPr>
            <w:r w:rsidRPr="00BA340B">
              <w:t>0.03937</w:t>
            </w:r>
          </w:p>
        </w:tc>
        <w:tc>
          <w:tcPr>
            <w:tcW w:w="2559" w:type="dxa"/>
            <w:tcBorders>
              <w:top w:val="nil"/>
              <w:bottom w:val="nil"/>
            </w:tcBorders>
          </w:tcPr>
          <w:p w14:paraId="61F5A2FB" w14:textId="77777777" w:rsidR="00203691" w:rsidRPr="00BA340B" w:rsidRDefault="00203691" w:rsidP="00F21FBA">
            <w:pPr>
              <w:pStyle w:val="TableBody"/>
            </w:pPr>
            <w:r w:rsidRPr="00BA340B">
              <w:t xml:space="preserve">inch per year (in/yr) </w:t>
            </w:r>
          </w:p>
        </w:tc>
      </w:tr>
      <w:tr w:rsidR="00203691" w:rsidRPr="00BA340B" w14:paraId="4E5EAEF9" w14:textId="77777777" w:rsidTr="00F21FBA">
        <w:trPr>
          <w:cantSplit/>
        </w:trPr>
        <w:tc>
          <w:tcPr>
            <w:tcW w:w="2558" w:type="dxa"/>
            <w:tcBorders>
              <w:top w:val="nil"/>
            </w:tcBorders>
          </w:tcPr>
          <w:p w14:paraId="1DC79F38" w14:textId="77777777" w:rsidR="00203691" w:rsidRPr="00BA340B" w:rsidRDefault="00203691" w:rsidP="00F21FBA">
            <w:pPr>
              <w:pStyle w:val="TableBody"/>
            </w:pPr>
            <w:r w:rsidRPr="00BA340B">
              <w:t xml:space="preserve">kilometer per hour (km/h) </w:t>
            </w:r>
          </w:p>
        </w:tc>
        <w:tc>
          <w:tcPr>
            <w:tcW w:w="2558" w:type="dxa"/>
            <w:tcBorders>
              <w:top w:val="nil"/>
            </w:tcBorders>
          </w:tcPr>
          <w:p w14:paraId="0E33F6C5" w14:textId="77777777" w:rsidR="00203691" w:rsidRPr="00BA340B" w:rsidRDefault="00203691" w:rsidP="00712B5C">
            <w:pPr>
              <w:pStyle w:val="TableBody"/>
            </w:pPr>
            <w:r w:rsidRPr="00BA340B">
              <w:t>0.6214</w:t>
            </w:r>
          </w:p>
        </w:tc>
        <w:tc>
          <w:tcPr>
            <w:tcW w:w="2559" w:type="dxa"/>
            <w:tcBorders>
              <w:top w:val="nil"/>
            </w:tcBorders>
          </w:tcPr>
          <w:p w14:paraId="7A8EABB8" w14:textId="77777777" w:rsidR="00203691" w:rsidRPr="00BA340B" w:rsidRDefault="00203691" w:rsidP="00F21FBA">
            <w:pPr>
              <w:pStyle w:val="TableBody"/>
            </w:pPr>
            <w:r w:rsidRPr="00BA340B">
              <w:t>mile per hour (mi/h)</w:t>
            </w:r>
          </w:p>
        </w:tc>
      </w:tr>
      <w:tr w:rsidR="00203691" w:rsidRPr="00BA340B" w14:paraId="3153FE85" w14:textId="77777777" w:rsidTr="00F21FBA">
        <w:trPr>
          <w:cantSplit/>
        </w:trPr>
        <w:tc>
          <w:tcPr>
            <w:tcW w:w="7675" w:type="dxa"/>
            <w:gridSpan w:val="3"/>
            <w:tcBorders>
              <w:bottom w:val="single" w:sz="4" w:space="0" w:color="auto"/>
            </w:tcBorders>
            <w:vAlign w:val="center"/>
          </w:tcPr>
          <w:p w14:paraId="216B6D7C" w14:textId="77777777" w:rsidR="00203691" w:rsidRPr="002E2E3D" w:rsidRDefault="00203691" w:rsidP="00F21FBA">
            <w:pPr>
              <w:pStyle w:val="TableSpanner"/>
              <w:tabs>
                <w:tab w:val="decimal" w:pos="495"/>
              </w:tabs>
            </w:pPr>
            <w:r w:rsidRPr="002E2E3D">
              <w:t>Mass</w:t>
            </w:r>
          </w:p>
        </w:tc>
      </w:tr>
      <w:tr w:rsidR="00203691" w:rsidRPr="00BA340B" w14:paraId="2E71EAE6" w14:textId="77777777" w:rsidTr="00F21FBA">
        <w:trPr>
          <w:cantSplit/>
        </w:trPr>
        <w:tc>
          <w:tcPr>
            <w:tcW w:w="2558" w:type="dxa"/>
            <w:tcBorders>
              <w:bottom w:val="nil"/>
            </w:tcBorders>
          </w:tcPr>
          <w:p w14:paraId="7E58114D" w14:textId="77777777" w:rsidR="00203691" w:rsidRPr="00BA340B" w:rsidRDefault="00203691" w:rsidP="00F21FBA">
            <w:pPr>
              <w:pStyle w:val="TableBody"/>
            </w:pPr>
            <w:r w:rsidRPr="00BA340B">
              <w:t>gram (g)</w:t>
            </w:r>
          </w:p>
        </w:tc>
        <w:tc>
          <w:tcPr>
            <w:tcW w:w="2558" w:type="dxa"/>
            <w:tcBorders>
              <w:bottom w:val="nil"/>
            </w:tcBorders>
          </w:tcPr>
          <w:p w14:paraId="139CA0C6" w14:textId="77777777" w:rsidR="00203691" w:rsidRPr="00BA340B" w:rsidRDefault="00203691" w:rsidP="00712B5C">
            <w:pPr>
              <w:pStyle w:val="TableBody"/>
            </w:pPr>
            <w:r w:rsidRPr="00BA340B">
              <w:t>0.03527</w:t>
            </w:r>
          </w:p>
        </w:tc>
        <w:tc>
          <w:tcPr>
            <w:tcW w:w="2559" w:type="dxa"/>
            <w:tcBorders>
              <w:bottom w:val="nil"/>
            </w:tcBorders>
          </w:tcPr>
          <w:p w14:paraId="7AD091AF" w14:textId="77777777" w:rsidR="00203691" w:rsidRPr="00BA340B" w:rsidRDefault="00203691" w:rsidP="00F21FBA">
            <w:pPr>
              <w:pStyle w:val="TableBody"/>
            </w:pPr>
            <w:r w:rsidRPr="00BA340B">
              <w:t>ounce, avoirdupois (oz)</w:t>
            </w:r>
          </w:p>
        </w:tc>
      </w:tr>
      <w:tr w:rsidR="00203691" w:rsidRPr="00BA340B" w14:paraId="36B2ADDD" w14:textId="77777777" w:rsidTr="00F21FBA">
        <w:trPr>
          <w:cantSplit/>
        </w:trPr>
        <w:tc>
          <w:tcPr>
            <w:tcW w:w="2558" w:type="dxa"/>
            <w:tcBorders>
              <w:top w:val="nil"/>
              <w:bottom w:val="nil"/>
            </w:tcBorders>
          </w:tcPr>
          <w:p w14:paraId="634D4B00" w14:textId="77777777" w:rsidR="00203691" w:rsidRPr="00BA340B" w:rsidRDefault="00203691" w:rsidP="00F21FBA">
            <w:pPr>
              <w:pStyle w:val="TableBody"/>
            </w:pPr>
            <w:r w:rsidRPr="00BA340B">
              <w:t>kilogram (kg)</w:t>
            </w:r>
          </w:p>
        </w:tc>
        <w:tc>
          <w:tcPr>
            <w:tcW w:w="2558" w:type="dxa"/>
            <w:tcBorders>
              <w:top w:val="nil"/>
              <w:bottom w:val="nil"/>
            </w:tcBorders>
          </w:tcPr>
          <w:p w14:paraId="274329D9" w14:textId="77777777" w:rsidR="00203691" w:rsidRPr="00BA340B" w:rsidRDefault="00203691" w:rsidP="00712B5C">
            <w:pPr>
              <w:pStyle w:val="TableBody"/>
            </w:pPr>
            <w:r w:rsidRPr="00BA340B">
              <w:t>2.205</w:t>
            </w:r>
          </w:p>
        </w:tc>
        <w:tc>
          <w:tcPr>
            <w:tcW w:w="2559" w:type="dxa"/>
            <w:tcBorders>
              <w:top w:val="nil"/>
              <w:bottom w:val="nil"/>
            </w:tcBorders>
          </w:tcPr>
          <w:p w14:paraId="56A9446B" w14:textId="77777777" w:rsidR="00203691" w:rsidRPr="00BA340B" w:rsidRDefault="00203691" w:rsidP="00F21FBA">
            <w:pPr>
              <w:pStyle w:val="TableBody"/>
            </w:pPr>
            <w:r w:rsidRPr="00BA340B">
              <w:t>pound avoirdupois (</w:t>
            </w:r>
            <w:proofErr w:type="spellStart"/>
            <w:r w:rsidRPr="00BA340B">
              <w:t>lb</w:t>
            </w:r>
            <w:proofErr w:type="spellEnd"/>
            <w:r w:rsidRPr="00BA340B">
              <w:t>)</w:t>
            </w:r>
          </w:p>
        </w:tc>
      </w:tr>
      <w:tr w:rsidR="00203691" w:rsidRPr="00BA340B" w14:paraId="64AE480B" w14:textId="77777777" w:rsidTr="00F21FBA">
        <w:trPr>
          <w:cantSplit/>
        </w:trPr>
        <w:tc>
          <w:tcPr>
            <w:tcW w:w="2558" w:type="dxa"/>
            <w:tcBorders>
              <w:top w:val="nil"/>
              <w:bottom w:val="nil"/>
            </w:tcBorders>
          </w:tcPr>
          <w:p w14:paraId="7FC4CDD3" w14:textId="77777777" w:rsidR="00203691" w:rsidRPr="00BA340B" w:rsidRDefault="00203691" w:rsidP="00F21FBA">
            <w:pPr>
              <w:pStyle w:val="TableBody"/>
            </w:pPr>
            <w:r w:rsidRPr="00BA340B">
              <w:t>metric ton (t)</w:t>
            </w:r>
          </w:p>
        </w:tc>
        <w:tc>
          <w:tcPr>
            <w:tcW w:w="2558" w:type="dxa"/>
            <w:tcBorders>
              <w:top w:val="nil"/>
              <w:bottom w:val="nil"/>
            </w:tcBorders>
          </w:tcPr>
          <w:p w14:paraId="3C190FFD" w14:textId="77777777" w:rsidR="00203691" w:rsidRPr="00BA340B" w:rsidRDefault="00203691" w:rsidP="00712B5C">
            <w:pPr>
              <w:pStyle w:val="TableBody"/>
            </w:pPr>
            <w:r w:rsidRPr="00BA340B">
              <w:t>1.102</w:t>
            </w:r>
          </w:p>
        </w:tc>
        <w:tc>
          <w:tcPr>
            <w:tcW w:w="2559" w:type="dxa"/>
            <w:tcBorders>
              <w:top w:val="nil"/>
              <w:bottom w:val="nil"/>
            </w:tcBorders>
          </w:tcPr>
          <w:p w14:paraId="28872BF6" w14:textId="77777777" w:rsidR="00203691" w:rsidRPr="00BA340B" w:rsidRDefault="00203691" w:rsidP="00F21FBA">
            <w:pPr>
              <w:pStyle w:val="TableBody"/>
            </w:pPr>
            <w:r w:rsidRPr="00BA340B">
              <w:t xml:space="preserve">ton, short [2,000 </w:t>
            </w:r>
            <w:proofErr w:type="spellStart"/>
            <w:r w:rsidRPr="00BA340B">
              <w:t>lb</w:t>
            </w:r>
            <w:proofErr w:type="spellEnd"/>
            <w:r w:rsidRPr="00BA340B">
              <w:t>]</w:t>
            </w:r>
          </w:p>
        </w:tc>
      </w:tr>
      <w:tr w:rsidR="00203691" w:rsidRPr="00BA340B" w14:paraId="6BB9023A" w14:textId="77777777" w:rsidTr="00F21FBA">
        <w:trPr>
          <w:cantSplit/>
        </w:trPr>
        <w:tc>
          <w:tcPr>
            <w:tcW w:w="2558" w:type="dxa"/>
            <w:tcBorders>
              <w:top w:val="nil"/>
              <w:bottom w:val="nil"/>
            </w:tcBorders>
          </w:tcPr>
          <w:p w14:paraId="0D0EB95F" w14:textId="77777777" w:rsidR="00203691" w:rsidRPr="00BA340B" w:rsidRDefault="00203691" w:rsidP="00F21FBA">
            <w:pPr>
              <w:pStyle w:val="TableBody"/>
            </w:pPr>
            <w:r w:rsidRPr="00BA340B">
              <w:t>metric ton (t)</w:t>
            </w:r>
          </w:p>
        </w:tc>
        <w:tc>
          <w:tcPr>
            <w:tcW w:w="2558" w:type="dxa"/>
            <w:tcBorders>
              <w:top w:val="nil"/>
              <w:bottom w:val="nil"/>
            </w:tcBorders>
          </w:tcPr>
          <w:p w14:paraId="08EA3028" w14:textId="77777777" w:rsidR="00203691" w:rsidRPr="00BA340B" w:rsidRDefault="00203691" w:rsidP="00712B5C">
            <w:pPr>
              <w:pStyle w:val="TableBody"/>
            </w:pPr>
            <w:r w:rsidRPr="00BA340B">
              <w:t>0.9842</w:t>
            </w:r>
          </w:p>
        </w:tc>
        <w:tc>
          <w:tcPr>
            <w:tcW w:w="2559" w:type="dxa"/>
            <w:tcBorders>
              <w:top w:val="nil"/>
              <w:bottom w:val="nil"/>
            </w:tcBorders>
          </w:tcPr>
          <w:p w14:paraId="1B461C51" w14:textId="77777777" w:rsidR="00203691" w:rsidRPr="00BA340B" w:rsidRDefault="00203691" w:rsidP="00F21FBA">
            <w:pPr>
              <w:pStyle w:val="TableBody"/>
            </w:pPr>
            <w:r w:rsidRPr="00BA340B">
              <w:t xml:space="preserve">ton, long [2,240 </w:t>
            </w:r>
            <w:proofErr w:type="spellStart"/>
            <w:r w:rsidRPr="00BA340B">
              <w:t>lb</w:t>
            </w:r>
            <w:proofErr w:type="spellEnd"/>
            <w:r w:rsidRPr="00BA340B">
              <w:t>]</w:t>
            </w:r>
          </w:p>
        </w:tc>
      </w:tr>
      <w:tr w:rsidR="00203691" w:rsidRPr="00BA340B" w14:paraId="4E1BA64E" w14:textId="77777777" w:rsidTr="00F21FBA">
        <w:trPr>
          <w:cantSplit/>
        </w:trPr>
        <w:tc>
          <w:tcPr>
            <w:tcW w:w="7675" w:type="dxa"/>
            <w:gridSpan w:val="3"/>
            <w:tcBorders>
              <w:bottom w:val="single" w:sz="4" w:space="0" w:color="auto"/>
            </w:tcBorders>
            <w:vAlign w:val="center"/>
          </w:tcPr>
          <w:p w14:paraId="33974AC1" w14:textId="77777777" w:rsidR="00203691" w:rsidRPr="002E2E3D" w:rsidRDefault="00203691" w:rsidP="00F21FBA">
            <w:pPr>
              <w:pStyle w:val="TableSpanner"/>
              <w:tabs>
                <w:tab w:val="decimal" w:pos="495"/>
              </w:tabs>
            </w:pPr>
            <w:r w:rsidRPr="002E2E3D">
              <w:t>Pressure</w:t>
            </w:r>
          </w:p>
        </w:tc>
      </w:tr>
      <w:tr w:rsidR="00203691" w:rsidRPr="00BA340B" w14:paraId="4C2916C8" w14:textId="77777777" w:rsidTr="00F21FBA">
        <w:trPr>
          <w:cantSplit/>
        </w:trPr>
        <w:tc>
          <w:tcPr>
            <w:tcW w:w="2558" w:type="dxa"/>
            <w:tcBorders>
              <w:bottom w:val="nil"/>
            </w:tcBorders>
          </w:tcPr>
          <w:p w14:paraId="15C7D029" w14:textId="77777777" w:rsidR="00203691" w:rsidRPr="00BA340B" w:rsidRDefault="00203691" w:rsidP="00F21FBA">
            <w:pPr>
              <w:pStyle w:val="TableBody"/>
            </w:pPr>
            <w:r w:rsidRPr="00BA340B">
              <w:t>kilopascal (kPa)</w:t>
            </w:r>
          </w:p>
        </w:tc>
        <w:tc>
          <w:tcPr>
            <w:tcW w:w="2558" w:type="dxa"/>
            <w:tcBorders>
              <w:bottom w:val="nil"/>
            </w:tcBorders>
          </w:tcPr>
          <w:p w14:paraId="2D8975DC" w14:textId="77777777" w:rsidR="00203691" w:rsidRPr="00BA340B" w:rsidRDefault="00203691" w:rsidP="00712B5C">
            <w:pPr>
              <w:pStyle w:val="TableBody"/>
            </w:pPr>
            <w:r w:rsidRPr="00BA340B">
              <w:t>0.009869</w:t>
            </w:r>
          </w:p>
        </w:tc>
        <w:tc>
          <w:tcPr>
            <w:tcW w:w="2559" w:type="dxa"/>
            <w:tcBorders>
              <w:bottom w:val="nil"/>
            </w:tcBorders>
          </w:tcPr>
          <w:p w14:paraId="0D7B3EE9" w14:textId="77777777" w:rsidR="00203691" w:rsidRPr="00BA340B" w:rsidRDefault="00203691" w:rsidP="00F21FBA">
            <w:pPr>
              <w:pStyle w:val="TableBody"/>
            </w:pPr>
            <w:r w:rsidRPr="00BA340B">
              <w:t>atmosphere, standard (atm)</w:t>
            </w:r>
          </w:p>
        </w:tc>
      </w:tr>
      <w:tr w:rsidR="00203691" w:rsidRPr="00BA340B" w14:paraId="3AFD8553" w14:textId="77777777" w:rsidTr="00F21FBA">
        <w:trPr>
          <w:cantSplit/>
        </w:trPr>
        <w:tc>
          <w:tcPr>
            <w:tcW w:w="2558" w:type="dxa"/>
            <w:tcBorders>
              <w:top w:val="nil"/>
              <w:bottom w:val="nil"/>
            </w:tcBorders>
          </w:tcPr>
          <w:p w14:paraId="5F5BE1F4" w14:textId="77777777" w:rsidR="00203691" w:rsidRPr="00BA340B" w:rsidRDefault="00203691" w:rsidP="00F21FBA">
            <w:pPr>
              <w:pStyle w:val="TableBody"/>
            </w:pPr>
            <w:r w:rsidRPr="00BA340B">
              <w:t>kilopascal (kPa)</w:t>
            </w:r>
          </w:p>
        </w:tc>
        <w:tc>
          <w:tcPr>
            <w:tcW w:w="2558" w:type="dxa"/>
            <w:tcBorders>
              <w:top w:val="nil"/>
              <w:bottom w:val="nil"/>
            </w:tcBorders>
          </w:tcPr>
          <w:p w14:paraId="62F82BAC" w14:textId="77777777" w:rsidR="00203691" w:rsidRPr="00BA340B" w:rsidRDefault="00203691" w:rsidP="00712B5C">
            <w:pPr>
              <w:pStyle w:val="TableBody"/>
            </w:pPr>
            <w:r w:rsidRPr="00BA340B">
              <w:t>0.01</w:t>
            </w:r>
          </w:p>
        </w:tc>
        <w:tc>
          <w:tcPr>
            <w:tcW w:w="2559" w:type="dxa"/>
            <w:tcBorders>
              <w:top w:val="nil"/>
              <w:bottom w:val="nil"/>
            </w:tcBorders>
          </w:tcPr>
          <w:p w14:paraId="65B0641C" w14:textId="77777777" w:rsidR="00203691" w:rsidRPr="00BA340B" w:rsidRDefault="00203691" w:rsidP="00F21FBA">
            <w:pPr>
              <w:pStyle w:val="TableBody"/>
            </w:pPr>
            <w:r w:rsidRPr="00BA340B">
              <w:t>bar</w:t>
            </w:r>
          </w:p>
        </w:tc>
      </w:tr>
      <w:tr w:rsidR="00203691" w:rsidRPr="00BA340B" w14:paraId="6993DC0E" w14:textId="77777777" w:rsidTr="00F21FBA">
        <w:trPr>
          <w:cantSplit/>
        </w:trPr>
        <w:tc>
          <w:tcPr>
            <w:tcW w:w="2558" w:type="dxa"/>
            <w:tcBorders>
              <w:top w:val="nil"/>
              <w:bottom w:val="nil"/>
            </w:tcBorders>
          </w:tcPr>
          <w:p w14:paraId="2AF0A45C" w14:textId="77777777" w:rsidR="00203691" w:rsidRPr="00BA340B" w:rsidRDefault="00203691" w:rsidP="00F21FBA">
            <w:pPr>
              <w:pStyle w:val="TableBody"/>
            </w:pPr>
            <w:r w:rsidRPr="00BA340B">
              <w:t>kilopascal (kPa)</w:t>
            </w:r>
          </w:p>
        </w:tc>
        <w:tc>
          <w:tcPr>
            <w:tcW w:w="2558" w:type="dxa"/>
            <w:tcBorders>
              <w:top w:val="nil"/>
              <w:bottom w:val="nil"/>
            </w:tcBorders>
          </w:tcPr>
          <w:p w14:paraId="6CDE23C7" w14:textId="77777777" w:rsidR="00203691" w:rsidRPr="00BA340B" w:rsidRDefault="00203691" w:rsidP="00712B5C">
            <w:pPr>
              <w:pStyle w:val="TableBody"/>
            </w:pPr>
            <w:r w:rsidRPr="00BA340B">
              <w:t>0.2961</w:t>
            </w:r>
          </w:p>
        </w:tc>
        <w:tc>
          <w:tcPr>
            <w:tcW w:w="2559" w:type="dxa"/>
            <w:tcBorders>
              <w:top w:val="nil"/>
              <w:bottom w:val="nil"/>
            </w:tcBorders>
          </w:tcPr>
          <w:p w14:paraId="210F78A3" w14:textId="77777777" w:rsidR="00203691" w:rsidRPr="00BA340B" w:rsidRDefault="00203691" w:rsidP="00F21FBA">
            <w:pPr>
              <w:pStyle w:val="TableBody"/>
            </w:pPr>
            <w:r w:rsidRPr="00BA340B">
              <w:t>inch of mercury at 60°F (in Hg)</w:t>
            </w:r>
          </w:p>
        </w:tc>
      </w:tr>
      <w:tr w:rsidR="00203691" w:rsidRPr="00BA340B" w14:paraId="006A645F" w14:textId="77777777" w:rsidTr="00F21FBA">
        <w:trPr>
          <w:cantSplit/>
        </w:trPr>
        <w:tc>
          <w:tcPr>
            <w:tcW w:w="2558" w:type="dxa"/>
            <w:tcBorders>
              <w:top w:val="nil"/>
              <w:bottom w:val="nil"/>
            </w:tcBorders>
          </w:tcPr>
          <w:p w14:paraId="686DF2EE" w14:textId="77777777" w:rsidR="00203691" w:rsidRPr="00BA340B" w:rsidRDefault="00203691" w:rsidP="00F21FBA">
            <w:pPr>
              <w:pStyle w:val="TableBody"/>
            </w:pPr>
            <w:r w:rsidRPr="00BA340B">
              <w:t>kilopascal (kPa)</w:t>
            </w:r>
          </w:p>
        </w:tc>
        <w:tc>
          <w:tcPr>
            <w:tcW w:w="2558" w:type="dxa"/>
            <w:tcBorders>
              <w:top w:val="nil"/>
              <w:bottom w:val="nil"/>
            </w:tcBorders>
          </w:tcPr>
          <w:p w14:paraId="5D0D793D" w14:textId="77777777" w:rsidR="00203691" w:rsidRPr="00BA340B" w:rsidRDefault="00203691" w:rsidP="00712B5C">
            <w:pPr>
              <w:pStyle w:val="TableBody"/>
            </w:pPr>
            <w:r w:rsidRPr="00BA340B">
              <w:t>0.1450</w:t>
            </w:r>
          </w:p>
        </w:tc>
        <w:tc>
          <w:tcPr>
            <w:tcW w:w="2559" w:type="dxa"/>
            <w:tcBorders>
              <w:top w:val="nil"/>
              <w:bottom w:val="nil"/>
            </w:tcBorders>
          </w:tcPr>
          <w:p w14:paraId="68F0FEC3" w14:textId="77777777" w:rsidR="00203691" w:rsidRPr="00BA340B" w:rsidRDefault="00203691" w:rsidP="00F21FBA">
            <w:pPr>
              <w:pStyle w:val="TableBody"/>
            </w:pPr>
            <w:r w:rsidRPr="00BA340B">
              <w:t>pound-force per inch (</w:t>
            </w:r>
            <w:proofErr w:type="spellStart"/>
            <w:r w:rsidRPr="00BA340B">
              <w:t>lbf</w:t>
            </w:r>
            <w:proofErr w:type="spellEnd"/>
            <w:r w:rsidRPr="00BA340B">
              <w:t xml:space="preserve">/in) </w:t>
            </w:r>
          </w:p>
        </w:tc>
      </w:tr>
      <w:tr w:rsidR="00203691" w:rsidRPr="00BA340B" w14:paraId="09513081" w14:textId="77777777" w:rsidTr="00F21FBA">
        <w:trPr>
          <w:cantSplit/>
        </w:trPr>
        <w:tc>
          <w:tcPr>
            <w:tcW w:w="2558" w:type="dxa"/>
            <w:tcBorders>
              <w:top w:val="nil"/>
              <w:bottom w:val="nil"/>
            </w:tcBorders>
          </w:tcPr>
          <w:p w14:paraId="0C9948B6" w14:textId="77777777" w:rsidR="00203691" w:rsidRPr="00BA340B" w:rsidRDefault="00203691" w:rsidP="00F21FBA">
            <w:pPr>
              <w:pStyle w:val="TableBody"/>
            </w:pPr>
            <w:r w:rsidRPr="00BA340B">
              <w:t>kilopascal (kPa)</w:t>
            </w:r>
          </w:p>
        </w:tc>
        <w:tc>
          <w:tcPr>
            <w:tcW w:w="2558" w:type="dxa"/>
            <w:tcBorders>
              <w:top w:val="nil"/>
              <w:bottom w:val="nil"/>
            </w:tcBorders>
          </w:tcPr>
          <w:p w14:paraId="6F872A6F" w14:textId="77777777" w:rsidR="00203691" w:rsidRPr="00BA340B" w:rsidRDefault="00203691" w:rsidP="00712B5C">
            <w:pPr>
              <w:pStyle w:val="TableBody"/>
            </w:pPr>
            <w:r w:rsidRPr="00BA340B">
              <w:t>20.88</w:t>
            </w:r>
          </w:p>
        </w:tc>
        <w:tc>
          <w:tcPr>
            <w:tcW w:w="2559" w:type="dxa"/>
            <w:tcBorders>
              <w:top w:val="nil"/>
              <w:bottom w:val="nil"/>
            </w:tcBorders>
          </w:tcPr>
          <w:p w14:paraId="2F73D222" w14:textId="77777777" w:rsidR="00203691" w:rsidRPr="00BA340B" w:rsidRDefault="00203691" w:rsidP="00F21FBA">
            <w:pPr>
              <w:pStyle w:val="TableBody"/>
            </w:pPr>
            <w:r w:rsidRPr="00BA340B">
              <w:t>pound per square foot (</w:t>
            </w:r>
            <w:proofErr w:type="spellStart"/>
            <w:r w:rsidRPr="00BA340B">
              <w:t>lb</w:t>
            </w:r>
            <w:proofErr w:type="spellEnd"/>
            <w:r w:rsidRPr="00BA340B">
              <w:t>/ft</w:t>
            </w:r>
            <w:r w:rsidRPr="0003326A">
              <w:rPr>
                <w:vertAlign w:val="superscript"/>
              </w:rPr>
              <w:t>2</w:t>
            </w:r>
            <w:r w:rsidRPr="00BA340B">
              <w:t xml:space="preserve">) </w:t>
            </w:r>
          </w:p>
        </w:tc>
      </w:tr>
      <w:tr w:rsidR="00203691" w:rsidRPr="00BA340B" w14:paraId="177AEC24" w14:textId="77777777" w:rsidTr="00F21FBA">
        <w:trPr>
          <w:cantSplit/>
        </w:trPr>
        <w:tc>
          <w:tcPr>
            <w:tcW w:w="2558" w:type="dxa"/>
            <w:tcBorders>
              <w:top w:val="nil"/>
            </w:tcBorders>
          </w:tcPr>
          <w:p w14:paraId="0ABE89A7" w14:textId="77777777" w:rsidR="00203691" w:rsidRPr="00BA340B" w:rsidRDefault="00203691" w:rsidP="00F21FBA">
            <w:pPr>
              <w:pStyle w:val="TableBody"/>
            </w:pPr>
            <w:r w:rsidRPr="00BA340B">
              <w:t>kilopascal (kPa)</w:t>
            </w:r>
          </w:p>
        </w:tc>
        <w:tc>
          <w:tcPr>
            <w:tcW w:w="2558" w:type="dxa"/>
            <w:tcBorders>
              <w:top w:val="nil"/>
            </w:tcBorders>
          </w:tcPr>
          <w:p w14:paraId="4AB37567" w14:textId="77777777" w:rsidR="00203691" w:rsidRPr="00BA340B" w:rsidRDefault="00203691" w:rsidP="00712B5C">
            <w:pPr>
              <w:pStyle w:val="TableBody"/>
            </w:pPr>
            <w:r w:rsidRPr="00BA340B">
              <w:t>0.1450</w:t>
            </w:r>
          </w:p>
        </w:tc>
        <w:tc>
          <w:tcPr>
            <w:tcW w:w="2559" w:type="dxa"/>
            <w:tcBorders>
              <w:top w:val="nil"/>
            </w:tcBorders>
          </w:tcPr>
          <w:p w14:paraId="61ABD0ED" w14:textId="77777777" w:rsidR="00203691" w:rsidRPr="00BA340B" w:rsidRDefault="00203691" w:rsidP="00F21FBA">
            <w:pPr>
              <w:pStyle w:val="TableBody"/>
            </w:pPr>
            <w:r w:rsidRPr="00BA340B">
              <w:t>pound per square inch (</w:t>
            </w:r>
            <w:proofErr w:type="spellStart"/>
            <w:r w:rsidRPr="00BA340B">
              <w:t>lb</w:t>
            </w:r>
            <w:proofErr w:type="spellEnd"/>
            <w:r w:rsidRPr="00BA340B">
              <w:t>/ft</w:t>
            </w:r>
            <w:r w:rsidRPr="0003326A">
              <w:rPr>
                <w:vertAlign w:val="superscript"/>
              </w:rPr>
              <w:t>2</w:t>
            </w:r>
            <w:r w:rsidRPr="00BA340B">
              <w:t xml:space="preserve">) </w:t>
            </w:r>
          </w:p>
        </w:tc>
      </w:tr>
      <w:tr w:rsidR="00203691" w:rsidRPr="00BA340B" w14:paraId="6679A0EF" w14:textId="77777777" w:rsidTr="00F21FBA">
        <w:trPr>
          <w:cantSplit/>
        </w:trPr>
        <w:tc>
          <w:tcPr>
            <w:tcW w:w="7675" w:type="dxa"/>
            <w:gridSpan w:val="3"/>
            <w:tcBorders>
              <w:bottom w:val="single" w:sz="4" w:space="0" w:color="auto"/>
            </w:tcBorders>
            <w:vAlign w:val="center"/>
          </w:tcPr>
          <w:p w14:paraId="61C1E4F6" w14:textId="77777777" w:rsidR="00203691" w:rsidRPr="002E2E3D" w:rsidRDefault="00203691" w:rsidP="00F21FBA">
            <w:pPr>
              <w:pStyle w:val="TableSpanner"/>
              <w:tabs>
                <w:tab w:val="decimal" w:pos="495"/>
              </w:tabs>
            </w:pPr>
            <w:r w:rsidRPr="002E2E3D">
              <w:t>Density</w:t>
            </w:r>
          </w:p>
        </w:tc>
      </w:tr>
      <w:tr w:rsidR="00203691" w:rsidRPr="00BA340B" w14:paraId="2BE540FA" w14:textId="77777777" w:rsidTr="00F21FBA">
        <w:trPr>
          <w:cantSplit/>
        </w:trPr>
        <w:tc>
          <w:tcPr>
            <w:tcW w:w="2558" w:type="dxa"/>
            <w:tcBorders>
              <w:bottom w:val="nil"/>
            </w:tcBorders>
          </w:tcPr>
          <w:p w14:paraId="631FDC6B" w14:textId="77777777" w:rsidR="00203691" w:rsidRPr="00BA340B" w:rsidRDefault="00203691" w:rsidP="00F21FBA">
            <w:pPr>
              <w:pStyle w:val="TableBody"/>
            </w:pPr>
            <w:r w:rsidRPr="00BA340B">
              <w:t>kilogram per cubic meter (kg/m</w:t>
            </w:r>
            <w:r w:rsidRPr="0003326A">
              <w:rPr>
                <w:vertAlign w:val="superscript"/>
              </w:rPr>
              <w:t>3</w:t>
            </w:r>
            <w:r w:rsidRPr="00BA340B">
              <w:t xml:space="preserve">) </w:t>
            </w:r>
          </w:p>
        </w:tc>
        <w:tc>
          <w:tcPr>
            <w:tcW w:w="2558" w:type="dxa"/>
            <w:tcBorders>
              <w:bottom w:val="nil"/>
            </w:tcBorders>
          </w:tcPr>
          <w:p w14:paraId="5857EEC7" w14:textId="77777777" w:rsidR="00203691" w:rsidRPr="00BA340B" w:rsidRDefault="00203691" w:rsidP="00712B5C">
            <w:pPr>
              <w:pStyle w:val="TableBody"/>
            </w:pPr>
            <w:r w:rsidRPr="00BA340B">
              <w:t>0.06242</w:t>
            </w:r>
          </w:p>
        </w:tc>
        <w:tc>
          <w:tcPr>
            <w:tcW w:w="2559" w:type="dxa"/>
            <w:tcBorders>
              <w:bottom w:val="nil"/>
            </w:tcBorders>
          </w:tcPr>
          <w:p w14:paraId="40703670" w14:textId="77777777" w:rsidR="00203691" w:rsidRPr="00BA340B" w:rsidRDefault="00203691" w:rsidP="00F21FBA">
            <w:pPr>
              <w:pStyle w:val="TableBody"/>
            </w:pPr>
            <w:r w:rsidRPr="00BA340B">
              <w:t>pound per cubic foot (</w:t>
            </w:r>
            <w:proofErr w:type="spellStart"/>
            <w:r w:rsidRPr="00BA340B">
              <w:t>lb</w:t>
            </w:r>
            <w:proofErr w:type="spellEnd"/>
            <w:r w:rsidRPr="00BA340B">
              <w:t>/ft</w:t>
            </w:r>
            <w:r w:rsidRPr="0003326A">
              <w:rPr>
                <w:vertAlign w:val="superscript"/>
              </w:rPr>
              <w:t>3</w:t>
            </w:r>
            <w:r w:rsidRPr="00BA340B">
              <w:t xml:space="preserve">) </w:t>
            </w:r>
          </w:p>
        </w:tc>
      </w:tr>
      <w:tr w:rsidR="00203691" w:rsidRPr="00BA340B" w14:paraId="57995A46" w14:textId="77777777" w:rsidTr="00F21FBA">
        <w:trPr>
          <w:cantSplit/>
        </w:trPr>
        <w:tc>
          <w:tcPr>
            <w:tcW w:w="2558" w:type="dxa"/>
            <w:tcBorders>
              <w:top w:val="nil"/>
            </w:tcBorders>
          </w:tcPr>
          <w:p w14:paraId="14FA8BF1" w14:textId="77777777" w:rsidR="00203691" w:rsidRPr="00BA340B" w:rsidRDefault="00203691" w:rsidP="00F21FBA">
            <w:pPr>
              <w:pStyle w:val="TableBody"/>
            </w:pPr>
            <w:r w:rsidRPr="00BA340B">
              <w:t>gram per cubic centimeter (g/cm</w:t>
            </w:r>
            <w:r w:rsidRPr="0003326A">
              <w:rPr>
                <w:vertAlign w:val="superscript"/>
              </w:rPr>
              <w:t>3</w:t>
            </w:r>
            <w:r w:rsidRPr="00BA340B">
              <w:t>)</w:t>
            </w:r>
          </w:p>
        </w:tc>
        <w:tc>
          <w:tcPr>
            <w:tcW w:w="2558" w:type="dxa"/>
            <w:tcBorders>
              <w:top w:val="nil"/>
            </w:tcBorders>
          </w:tcPr>
          <w:p w14:paraId="6AD75D36" w14:textId="77777777" w:rsidR="00203691" w:rsidRPr="00BA340B" w:rsidRDefault="00203691" w:rsidP="00712B5C">
            <w:pPr>
              <w:pStyle w:val="TableBody"/>
            </w:pPr>
            <w:r w:rsidRPr="00BA340B">
              <w:t>62.4220</w:t>
            </w:r>
          </w:p>
        </w:tc>
        <w:tc>
          <w:tcPr>
            <w:tcW w:w="2559" w:type="dxa"/>
            <w:tcBorders>
              <w:top w:val="nil"/>
            </w:tcBorders>
          </w:tcPr>
          <w:p w14:paraId="631FD774" w14:textId="77777777" w:rsidR="00203691" w:rsidRPr="00BA340B" w:rsidRDefault="00203691" w:rsidP="00F21FBA">
            <w:pPr>
              <w:pStyle w:val="TableBody"/>
            </w:pPr>
            <w:r w:rsidRPr="00BA340B">
              <w:t>pound per cubic foot (</w:t>
            </w:r>
            <w:proofErr w:type="spellStart"/>
            <w:r w:rsidRPr="00BA340B">
              <w:t>lb</w:t>
            </w:r>
            <w:proofErr w:type="spellEnd"/>
            <w:r w:rsidRPr="00BA340B">
              <w:t>/ft</w:t>
            </w:r>
            <w:r w:rsidRPr="0003326A">
              <w:rPr>
                <w:vertAlign w:val="superscript"/>
              </w:rPr>
              <w:t>3</w:t>
            </w:r>
            <w:r w:rsidRPr="00BA340B">
              <w:t xml:space="preserve">) </w:t>
            </w:r>
          </w:p>
        </w:tc>
      </w:tr>
      <w:tr w:rsidR="00203691" w:rsidRPr="00BA340B" w14:paraId="12D05A24" w14:textId="77777777" w:rsidTr="00F21FBA">
        <w:trPr>
          <w:cantSplit/>
        </w:trPr>
        <w:tc>
          <w:tcPr>
            <w:tcW w:w="7675" w:type="dxa"/>
            <w:gridSpan w:val="3"/>
            <w:vAlign w:val="center"/>
          </w:tcPr>
          <w:p w14:paraId="3129272B" w14:textId="77777777" w:rsidR="00203691" w:rsidRPr="002E2E3D" w:rsidRDefault="00203691" w:rsidP="00F21FBA">
            <w:pPr>
              <w:pStyle w:val="TableSpanner"/>
              <w:tabs>
                <w:tab w:val="decimal" w:pos="495"/>
              </w:tabs>
            </w:pPr>
            <w:r w:rsidRPr="002E2E3D">
              <w:t>Energy</w:t>
            </w:r>
          </w:p>
        </w:tc>
      </w:tr>
      <w:tr w:rsidR="00203691" w:rsidRPr="00BA340B" w14:paraId="2C707D8E" w14:textId="77777777" w:rsidTr="00F21FBA">
        <w:trPr>
          <w:cantSplit/>
        </w:trPr>
        <w:tc>
          <w:tcPr>
            <w:tcW w:w="2558" w:type="dxa"/>
          </w:tcPr>
          <w:p w14:paraId="5E1ECF6C" w14:textId="77777777" w:rsidR="00203691" w:rsidRPr="00BA340B" w:rsidRDefault="00203691" w:rsidP="00F21FBA">
            <w:pPr>
              <w:pStyle w:val="TableBody"/>
            </w:pPr>
            <w:r w:rsidRPr="00BA340B">
              <w:t>joule (J)</w:t>
            </w:r>
          </w:p>
        </w:tc>
        <w:tc>
          <w:tcPr>
            <w:tcW w:w="2558" w:type="dxa"/>
          </w:tcPr>
          <w:p w14:paraId="5F0852DA" w14:textId="77777777" w:rsidR="00203691" w:rsidRPr="00BA340B" w:rsidRDefault="00203691" w:rsidP="00712B5C">
            <w:pPr>
              <w:pStyle w:val="TableBody"/>
            </w:pPr>
            <w:r w:rsidRPr="00BA340B">
              <w:t>0.0000002</w:t>
            </w:r>
          </w:p>
        </w:tc>
        <w:tc>
          <w:tcPr>
            <w:tcW w:w="2559" w:type="dxa"/>
          </w:tcPr>
          <w:p w14:paraId="5D5F4F42" w14:textId="77777777" w:rsidR="00203691" w:rsidRPr="00BA340B" w:rsidRDefault="00203691" w:rsidP="00F21FBA">
            <w:pPr>
              <w:pStyle w:val="TableBody"/>
            </w:pPr>
            <w:proofErr w:type="spellStart"/>
            <w:r w:rsidRPr="00BA340B">
              <w:t>kilowatthour</w:t>
            </w:r>
            <w:proofErr w:type="spellEnd"/>
            <w:r w:rsidRPr="00BA340B">
              <w:t xml:space="preserve"> (kWh)</w:t>
            </w:r>
          </w:p>
        </w:tc>
      </w:tr>
      <w:tr w:rsidR="00203691" w:rsidRPr="00BA340B" w14:paraId="3918BF63" w14:textId="77777777" w:rsidTr="00F21FBA">
        <w:trPr>
          <w:cantSplit/>
        </w:trPr>
        <w:tc>
          <w:tcPr>
            <w:tcW w:w="7675" w:type="dxa"/>
            <w:gridSpan w:val="3"/>
            <w:vAlign w:val="center"/>
          </w:tcPr>
          <w:p w14:paraId="728D7D9C" w14:textId="77777777" w:rsidR="00203691" w:rsidRPr="002E2E3D" w:rsidRDefault="00203691" w:rsidP="00F21FBA">
            <w:pPr>
              <w:pStyle w:val="TableSpanner"/>
              <w:tabs>
                <w:tab w:val="decimal" w:pos="495"/>
              </w:tabs>
            </w:pPr>
            <w:r w:rsidRPr="002E2E3D">
              <w:t>Radioactivity</w:t>
            </w:r>
          </w:p>
        </w:tc>
      </w:tr>
      <w:tr w:rsidR="00203691" w:rsidRPr="00BA340B" w14:paraId="4620C71E" w14:textId="77777777" w:rsidTr="00F21FBA">
        <w:trPr>
          <w:cantSplit/>
        </w:trPr>
        <w:tc>
          <w:tcPr>
            <w:tcW w:w="2558" w:type="dxa"/>
          </w:tcPr>
          <w:p w14:paraId="0572FA3B" w14:textId="77777777" w:rsidR="00203691" w:rsidRPr="00BA340B" w:rsidRDefault="00203691" w:rsidP="00F21FBA">
            <w:pPr>
              <w:pStyle w:val="TableBody"/>
            </w:pPr>
            <w:r w:rsidRPr="00BA340B">
              <w:t>becquerel per liter (Bq/L)</w:t>
            </w:r>
          </w:p>
        </w:tc>
        <w:tc>
          <w:tcPr>
            <w:tcW w:w="2558" w:type="dxa"/>
          </w:tcPr>
          <w:p w14:paraId="26F664EE" w14:textId="77777777" w:rsidR="00203691" w:rsidRPr="00BA340B" w:rsidRDefault="00203691" w:rsidP="00712B5C">
            <w:pPr>
              <w:pStyle w:val="TableBody"/>
            </w:pPr>
            <w:r w:rsidRPr="00BA340B">
              <w:t>27.027</w:t>
            </w:r>
          </w:p>
        </w:tc>
        <w:tc>
          <w:tcPr>
            <w:tcW w:w="2559" w:type="dxa"/>
          </w:tcPr>
          <w:p w14:paraId="558ABA7A" w14:textId="77777777" w:rsidR="00203691" w:rsidRPr="00BA340B" w:rsidRDefault="00203691" w:rsidP="00F21FBA">
            <w:pPr>
              <w:pStyle w:val="TableBody"/>
            </w:pPr>
            <w:r w:rsidRPr="00BA340B">
              <w:t>picocurie per liter (</w:t>
            </w:r>
            <w:proofErr w:type="spellStart"/>
            <w:r w:rsidRPr="00BA340B">
              <w:t>pCi</w:t>
            </w:r>
            <w:proofErr w:type="spellEnd"/>
            <w:r w:rsidRPr="00BA340B">
              <w:t xml:space="preserve">/L) </w:t>
            </w:r>
          </w:p>
        </w:tc>
      </w:tr>
      <w:tr w:rsidR="00203691" w:rsidRPr="00BA340B" w14:paraId="3DB1EC67" w14:textId="77777777" w:rsidTr="00F21FBA">
        <w:trPr>
          <w:cantSplit/>
        </w:trPr>
        <w:tc>
          <w:tcPr>
            <w:tcW w:w="7675" w:type="dxa"/>
            <w:gridSpan w:val="3"/>
            <w:vAlign w:val="center"/>
          </w:tcPr>
          <w:p w14:paraId="728399D8" w14:textId="77777777" w:rsidR="00203691" w:rsidRPr="002E2E3D" w:rsidRDefault="00203691" w:rsidP="00F21FBA">
            <w:pPr>
              <w:pStyle w:val="TableSpanner"/>
              <w:tabs>
                <w:tab w:val="decimal" w:pos="495"/>
              </w:tabs>
            </w:pPr>
            <w:r w:rsidRPr="002E2E3D">
              <w:t>Specific capacity</w:t>
            </w:r>
          </w:p>
        </w:tc>
      </w:tr>
      <w:tr w:rsidR="00203691" w:rsidRPr="00BA340B" w14:paraId="06D3377A" w14:textId="77777777" w:rsidTr="00F21FBA">
        <w:trPr>
          <w:cantSplit/>
        </w:trPr>
        <w:tc>
          <w:tcPr>
            <w:tcW w:w="2558" w:type="dxa"/>
          </w:tcPr>
          <w:p w14:paraId="6DC70BD9" w14:textId="77777777" w:rsidR="00203691" w:rsidRPr="00BA340B" w:rsidRDefault="00203691" w:rsidP="00F21FBA">
            <w:pPr>
              <w:pStyle w:val="TableBody"/>
            </w:pPr>
            <w:r w:rsidRPr="00BA340B">
              <w:t>liter per second per meter ([L/s]/m)</w:t>
            </w:r>
          </w:p>
        </w:tc>
        <w:tc>
          <w:tcPr>
            <w:tcW w:w="2558" w:type="dxa"/>
          </w:tcPr>
          <w:p w14:paraId="081E7B45" w14:textId="77777777" w:rsidR="00203691" w:rsidRPr="00BA340B" w:rsidRDefault="00203691" w:rsidP="00712B5C">
            <w:pPr>
              <w:pStyle w:val="TableBody"/>
            </w:pPr>
            <w:r w:rsidRPr="00BA340B">
              <w:t>4.831</w:t>
            </w:r>
          </w:p>
        </w:tc>
        <w:tc>
          <w:tcPr>
            <w:tcW w:w="2559" w:type="dxa"/>
          </w:tcPr>
          <w:p w14:paraId="146BCE3A" w14:textId="77777777" w:rsidR="00203691" w:rsidRPr="00BA340B" w:rsidRDefault="00203691" w:rsidP="00F21FBA">
            <w:pPr>
              <w:pStyle w:val="TableBody"/>
            </w:pPr>
            <w:r w:rsidRPr="00BA340B">
              <w:t>gallon per minute per foot ([gal/min]/ft)</w:t>
            </w:r>
          </w:p>
        </w:tc>
      </w:tr>
      <w:tr w:rsidR="00203691" w:rsidRPr="00BA340B" w14:paraId="6513EB47" w14:textId="77777777" w:rsidTr="00F21FBA">
        <w:trPr>
          <w:cantSplit/>
        </w:trPr>
        <w:tc>
          <w:tcPr>
            <w:tcW w:w="7675" w:type="dxa"/>
            <w:gridSpan w:val="3"/>
            <w:vAlign w:val="center"/>
          </w:tcPr>
          <w:p w14:paraId="700403D5" w14:textId="77777777" w:rsidR="00203691" w:rsidRPr="002E2E3D" w:rsidRDefault="00203691" w:rsidP="00F21FBA">
            <w:pPr>
              <w:pStyle w:val="TableSpanner"/>
              <w:tabs>
                <w:tab w:val="decimal" w:pos="495"/>
              </w:tabs>
            </w:pPr>
            <w:r w:rsidRPr="002E2E3D">
              <w:t>Hydraulic conductivity</w:t>
            </w:r>
          </w:p>
        </w:tc>
      </w:tr>
      <w:tr w:rsidR="00203691" w:rsidRPr="00BA340B" w14:paraId="3A6EB996" w14:textId="77777777" w:rsidTr="00F21FBA">
        <w:trPr>
          <w:cantSplit/>
        </w:trPr>
        <w:tc>
          <w:tcPr>
            <w:tcW w:w="2558" w:type="dxa"/>
          </w:tcPr>
          <w:p w14:paraId="4835E805" w14:textId="77777777" w:rsidR="00203691" w:rsidRPr="00BA340B" w:rsidRDefault="00203691" w:rsidP="00F21FBA">
            <w:pPr>
              <w:pStyle w:val="TableBody"/>
            </w:pPr>
            <w:r w:rsidRPr="00BA340B">
              <w:t>meter per day (m/d)</w:t>
            </w:r>
          </w:p>
        </w:tc>
        <w:tc>
          <w:tcPr>
            <w:tcW w:w="2558" w:type="dxa"/>
          </w:tcPr>
          <w:p w14:paraId="5712F0DD" w14:textId="77777777" w:rsidR="00203691" w:rsidRPr="00BA340B" w:rsidRDefault="00203691" w:rsidP="00712B5C">
            <w:pPr>
              <w:pStyle w:val="TableBody"/>
            </w:pPr>
            <w:r w:rsidRPr="00BA340B">
              <w:t>3.281</w:t>
            </w:r>
          </w:p>
        </w:tc>
        <w:tc>
          <w:tcPr>
            <w:tcW w:w="2559" w:type="dxa"/>
          </w:tcPr>
          <w:p w14:paraId="0CAF4174" w14:textId="77777777" w:rsidR="00203691" w:rsidRPr="00BA340B" w:rsidRDefault="00203691" w:rsidP="00F21FBA">
            <w:pPr>
              <w:pStyle w:val="TableBody"/>
            </w:pPr>
            <w:r w:rsidRPr="00BA340B">
              <w:t xml:space="preserve">foot per day (ft/d) </w:t>
            </w:r>
          </w:p>
        </w:tc>
      </w:tr>
      <w:tr w:rsidR="00203691" w:rsidRPr="00BA340B" w14:paraId="5A13E8C2" w14:textId="77777777" w:rsidTr="00F21FBA">
        <w:trPr>
          <w:cantSplit/>
        </w:trPr>
        <w:tc>
          <w:tcPr>
            <w:tcW w:w="7675" w:type="dxa"/>
            <w:gridSpan w:val="3"/>
            <w:vAlign w:val="center"/>
          </w:tcPr>
          <w:p w14:paraId="44D27D0B" w14:textId="77777777" w:rsidR="00203691" w:rsidRPr="002E2E3D" w:rsidRDefault="00203691" w:rsidP="00F21FBA">
            <w:pPr>
              <w:pStyle w:val="TableSpanner"/>
              <w:tabs>
                <w:tab w:val="decimal" w:pos="495"/>
              </w:tabs>
            </w:pPr>
            <w:r w:rsidRPr="002E2E3D">
              <w:t>Hydraulic gradient</w:t>
            </w:r>
          </w:p>
        </w:tc>
      </w:tr>
      <w:tr w:rsidR="00203691" w:rsidRPr="00BA340B" w14:paraId="3C62A80A" w14:textId="77777777" w:rsidTr="00F21FBA">
        <w:trPr>
          <w:cantSplit/>
        </w:trPr>
        <w:tc>
          <w:tcPr>
            <w:tcW w:w="2558" w:type="dxa"/>
          </w:tcPr>
          <w:p w14:paraId="48D54B8B" w14:textId="77777777" w:rsidR="00203691" w:rsidRPr="00BA340B" w:rsidRDefault="00203691" w:rsidP="00F21FBA">
            <w:pPr>
              <w:pStyle w:val="TableBody"/>
            </w:pPr>
            <w:r w:rsidRPr="00BA340B">
              <w:t>meter per kilometer (m/km)</w:t>
            </w:r>
          </w:p>
        </w:tc>
        <w:tc>
          <w:tcPr>
            <w:tcW w:w="2558" w:type="dxa"/>
          </w:tcPr>
          <w:p w14:paraId="39BFF102" w14:textId="77777777" w:rsidR="00203691" w:rsidRPr="00BA340B" w:rsidRDefault="00203691" w:rsidP="00712B5C">
            <w:pPr>
              <w:pStyle w:val="TableBody"/>
            </w:pPr>
            <w:r w:rsidRPr="00BA340B">
              <w:t>5.27983</w:t>
            </w:r>
          </w:p>
        </w:tc>
        <w:tc>
          <w:tcPr>
            <w:tcW w:w="2559" w:type="dxa"/>
          </w:tcPr>
          <w:p w14:paraId="138DA795" w14:textId="77777777" w:rsidR="00203691" w:rsidRPr="00BA340B" w:rsidRDefault="00203691" w:rsidP="00F21FBA">
            <w:pPr>
              <w:pStyle w:val="TableBody"/>
            </w:pPr>
            <w:r w:rsidRPr="00BA340B">
              <w:t xml:space="preserve">foot per mile (ft/mi) </w:t>
            </w:r>
          </w:p>
        </w:tc>
      </w:tr>
      <w:tr w:rsidR="00203691" w:rsidRPr="00BA340B" w14:paraId="290BE4FE" w14:textId="77777777" w:rsidTr="00F21FBA">
        <w:trPr>
          <w:cantSplit/>
        </w:trPr>
        <w:tc>
          <w:tcPr>
            <w:tcW w:w="7675" w:type="dxa"/>
            <w:gridSpan w:val="3"/>
            <w:vAlign w:val="center"/>
          </w:tcPr>
          <w:p w14:paraId="2FD56837" w14:textId="77777777" w:rsidR="00203691" w:rsidRPr="002E2E3D" w:rsidRDefault="00203691" w:rsidP="00F21FBA">
            <w:pPr>
              <w:pStyle w:val="TableSpanner"/>
              <w:tabs>
                <w:tab w:val="decimal" w:pos="495"/>
              </w:tabs>
            </w:pPr>
            <w:r w:rsidRPr="002E2E3D">
              <w:t>Transmissivity</w:t>
            </w:r>
          </w:p>
        </w:tc>
      </w:tr>
      <w:tr w:rsidR="00203691" w:rsidRPr="00BA340B" w14:paraId="46AD939B" w14:textId="77777777" w:rsidTr="00F21FBA">
        <w:trPr>
          <w:cantSplit/>
        </w:trPr>
        <w:tc>
          <w:tcPr>
            <w:tcW w:w="2558" w:type="dxa"/>
          </w:tcPr>
          <w:p w14:paraId="485CA40A" w14:textId="77777777" w:rsidR="00203691" w:rsidRPr="00BA340B" w:rsidRDefault="00203691" w:rsidP="00F21FBA">
            <w:pPr>
              <w:pStyle w:val="TableBody"/>
            </w:pPr>
            <w:r w:rsidRPr="00BA340B">
              <w:t>meter squared per day (m</w:t>
            </w:r>
            <w:r w:rsidRPr="0003326A">
              <w:rPr>
                <w:vertAlign w:val="superscript"/>
              </w:rPr>
              <w:t>2</w:t>
            </w:r>
            <w:r w:rsidRPr="00BA340B">
              <w:t>/d)</w:t>
            </w:r>
          </w:p>
        </w:tc>
        <w:tc>
          <w:tcPr>
            <w:tcW w:w="2558" w:type="dxa"/>
          </w:tcPr>
          <w:p w14:paraId="250DDD37" w14:textId="77777777" w:rsidR="00203691" w:rsidRPr="00BA340B" w:rsidRDefault="00203691" w:rsidP="00712B5C">
            <w:pPr>
              <w:pStyle w:val="TableBody"/>
            </w:pPr>
            <w:r w:rsidRPr="00BA340B">
              <w:t>10.76</w:t>
            </w:r>
          </w:p>
        </w:tc>
        <w:tc>
          <w:tcPr>
            <w:tcW w:w="2559" w:type="dxa"/>
          </w:tcPr>
          <w:p w14:paraId="1FEC48B2" w14:textId="77777777" w:rsidR="00203691" w:rsidRPr="00BA340B" w:rsidRDefault="00203691" w:rsidP="00F21FBA">
            <w:pPr>
              <w:pStyle w:val="TableBody"/>
            </w:pPr>
            <w:r w:rsidRPr="00BA340B">
              <w:t>foot squared per day (ft</w:t>
            </w:r>
            <w:r w:rsidRPr="0003326A">
              <w:rPr>
                <w:vertAlign w:val="superscript"/>
              </w:rPr>
              <w:t>2</w:t>
            </w:r>
            <w:r w:rsidRPr="00BA340B">
              <w:t xml:space="preserve">/d) </w:t>
            </w:r>
          </w:p>
        </w:tc>
      </w:tr>
      <w:tr w:rsidR="00203691" w:rsidRPr="00BA340B" w14:paraId="20884E6A" w14:textId="77777777" w:rsidTr="00F21FBA">
        <w:trPr>
          <w:cantSplit/>
        </w:trPr>
        <w:tc>
          <w:tcPr>
            <w:tcW w:w="7675" w:type="dxa"/>
            <w:gridSpan w:val="3"/>
            <w:vAlign w:val="center"/>
          </w:tcPr>
          <w:p w14:paraId="0C046AF7" w14:textId="77777777" w:rsidR="00203691" w:rsidRPr="002E2E3D" w:rsidRDefault="00203691" w:rsidP="00F21FBA">
            <w:pPr>
              <w:pStyle w:val="TableSpanner"/>
              <w:tabs>
                <w:tab w:val="decimal" w:pos="495"/>
              </w:tabs>
            </w:pPr>
            <w:r w:rsidRPr="002E2E3D">
              <w:lastRenderedPageBreak/>
              <w:t>Application rate</w:t>
            </w:r>
          </w:p>
        </w:tc>
      </w:tr>
      <w:tr w:rsidR="00203691" w:rsidRPr="00BA340B" w14:paraId="0B7D6B66" w14:textId="77777777" w:rsidTr="00F21FBA">
        <w:trPr>
          <w:cantSplit/>
        </w:trPr>
        <w:tc>
          <w:tcPr>
            <w:tcW w:w="2558" w:type="dxa"/>
          </w:tcPr>
          <w:p w14:paraId="2834F354" w14:textId="77777777" w:rsidR="00203691" w:rsidRPr="00BA340B" w:rsidRDefault="00203691" w:rsidP="00F21FBA">
            <w:pPr>
              <w:pStyle w:val="TableBody"/>
            </w:pPr>
            <w:r w:rsidRPr="00BA340B">
              <w:t>kilogram per hectare per year ([kg/ha]/yr)</w:t>
            </w:r>
          </w:p>
        </w:tc>
        <w:tc>
          <w:tcPr>
            <w:tcW w:w="2558" w:type="dxa"/>
          </w:tcPr>
          <w:p w14:paraId="1267A78C" w14:textId="77777777" w:rsidR="00203691" w:rsidRPr="00BA340B" w:rsidRDefault="00203691" w:rsidP="00712B5C">
            <w:pPr>
              <w:pStyle w:val="TableBody"/>
            </w:pPr>
            <w:r w:rsidRPr="00BA340B">
              <w:t>0.8921</w:t>
            </w:r>
          </w:p>
        </w:tc>
        <w:tc>
          <w:tcPr>
            <w:tcW w:w="2559" w:type="dxa"/>
          </w:tcPr>
          <w:p w14:paraId="2D936B05" w14:textId="77777777" w:rsidR="00203691" w:rsidRPr="00BA340B" w:rsidRDefault="00203691" w:rsidP="00F21FBA">
            <w:pPr>
              <w:pStyle w:val="TableBody"/>
            </w:pPr>
            <w:r w:rsidRPr="00BA340B">
              <w:t>pound per acre per year ([</w:t>
            </w:r>
            <w:proofErr w:type="spellStart"/>
            <w:r w:rsidRPr="00BA340B">
              <w:t>lb</w:t>
            </w:r>
            <w:proofErr w:type="spellEnd"/>
            <w:r w:rsidRPr="00BA340B">
              <w:t>/acre]/yr)</w:t>
            </w:r>
          </w:p>
        </w:tc>
      </w:tr>
      <w:tr w:rsidR="00203691" w:rsidRPr="00BA340B" w14:paraId="0C151A23" w14:textId="77777777" w:rsidTr="00F21FBA">
        <w:trPr>
          <w:cantSplit/>
        </w:trPr>
        <w:tc>
          <w:tcPr>
            <w:tcW w:w="7675" w:type="dxa"/>
            <w:gridSpan w:val="3"/>
            <w:tcBorders>
              <w:bottom w:val="single" w:sz="4" w:space="0" w:color="auto"/>
            </w:tcBorders>
            <w:vAlign w:val="center"/>
          </w:tcPr>
          <w:p w14:paraId="658DCD98" w14:textId="77777777" w:rsidR="00203691" w:rsidRPr="002E2E3D" w:rsidRDefault="00203691" w:rsidP="00F21FBA">
            <w:pPr>
              <w:pStyle w:val="TableSpanner"/>
              <w:tabs>
                <w:tab w:val="decimal" w:pos="495"/>
              </w:tabs>
            </w:pPr>
            <w:r w:rsidRPr="002E2E3D">
              <w:t>Leakance</w:t>
            </w:r>
          </w:p>
        </w:tc>
      </w:tr>
      <w:tr w:rsidR="00203691" w:rsidRPr="00BA340B" w14:paraId="330B7550" w14:textId="77777777" w:rsidTr="00F21FBA">
        <w:trPr>
          <w:cantSplit/>
        </w:trPr>
        <w:tc>
          <w:tcPr>
            <w:tcW w:w="2558" w:type="dxa"/>
            <w:tcBorders>
              <w:bottom w:val="nil"/>
            </w:tcBorders>
          </w:tcPr>
          <w:p w14:paraId="209862FE" w14:textId="77777777" w:rsidR="00203691" w:rsidRPr="00BA340B" w:rsidRDefault="00203691" w:rsidP="00F21FBA">
            <w:pPr>
              <w:pStyle w:val="TableBody"/>
            </w:pPr>
            <w:r w:rsidRPr="00BA340B">
              <w:t>meter per day per meter ([m/d]/m)</w:t>
            </w:r>
          </w:p>
        </w:tc>
        <w:tc>
          <w:tcPr>
            <w:tcW w:w="2558" w:type="dxa"/>
            <w:tcBorders>
              <w:bottom w:val="nil"/>
            </w:tcBorders>
          </w:tcPr>
          <w:p w14:paraId="111A7F8C" w14:textId="77777777" w:rsidR="00203691" w:rsidRPr="00712B5C" w:rsidRDefault="00203691" w:rsidP="00712B5C">
            <w:pPr>
              <w:pStyle w:val="TableBody"/>
            </w:pPr>
            <w:r w:rsidRPr="00712B5C">
              <w:t>1</w:t>
            </w:r>
          </w:p>
        </w:tc>
        <w:tc>
          <w:tcPr>
            <w:tcW w:w="2559" w:type="dxa"/>
            <w:tcBorders>
              <w:bottom w:val="nil"/>
            </w:tcBorders>
          </w:tcPr>
          <w:p w14:paraId="409BC619" w14:textId="77777777" w:rsidR="00203691" w:rsidRPr="00BA340B" w:rsidRDefault="00203691" w:rsidP="00F21FBA">
            <w:pPr>
              <w:pStyle w:val="TableBody"/>
            </w:pPr>
            <w:r w:rsidRPr="00BA340B">
              <w:t>foot per day per foot ([ft/d]/ft)</w:t>
            </w:r>
          </w:p>
        </w:tc>
      </w:tr>
      <w:tr w:rsidR="00203691" w:rsidRPr="00BA340B" w14:paraId="4DE0B5BB" w14:textId="77777777" w:rsidTr="00F21FBA">
        <w:trPr>
          <w:cantSplit/>
        </w:trPr>
        <w:tc>
          <w:tcPr>
            <w:tcW w:w="2558" w:type="dxa"/>
            <w:tcBorders>
              <w:top w:val="nil"/>
            </w:tcBorders>
          </w:tcPr>
          <w:p w14:paraId="59A05BCC" w14:textId="77777777" w:rsidR="00203691" w:rsidRPr="00BA340B" w:rsidRDefault="00203691" w:rsidP="00F21FBA">
            <w:pPr>
              <w:pStyle w:val="TableBody"/>
            </w:pPr>
            <w:proofErr w:type="gramStart"/>
            <w:r w:rsidRPr="00BA340B">
              <w:t>millimeter</w:t>
            </w:r>
            <w:proofErr w:type="gramEnd"/>
            <w:r w:rsidRPr="00BA340B">
              <w:t xml:space="preserve"> per year per meter ([mm/yr]/m)</w:t>
            </w:r>
          </w:p>
        </w:tc>
        <w:tc>
          <w:tcPr>
            <w:tcW w:w="2558" w:type="dxa"/>
            <w:tcBorders>
              <w:top w:val="nil"/>
            </w:tcBorders>
          </w:tcPr>
          <w:p w14:paraId="77EE83DD" w14:textId="77777777" w:rsidR="00203691" w:rsidRPr="00712B5C" w:rsidRDefault="00203691" w:rsidP="00712B5C">
            <w:pPr>
              <w:pStyle w:val="TableBody"/>
            </w:pPr>
            <w:r w:rsidRPr="00712B5C">
              <w:t>0.012</w:t>
            </w:r>
          </w:p>
        </w:tc>
        <w:tc>
          <w:tcPr>
            <w:tcW w:w="2559" w:type="dxa"/>
            <w:tcBorders>
              <w:top w:val="nil"/>
            </w:tcBorders>
          </w:tcPr>
          <w:p w14:paraId="14459E90" w14:textId="77777777" w:rsidR="00203691" w:rsidRPr="00BA340B" w:rsidRDefault="00203691" w:rsidP="00F21FBA">
            <w:pPr>
              <w:pStyle w:val="TableBody"/>
            </w:pPr>
            <w:r w:rsidRPr="00BA340B">
              <w:t>inch per year per foot ([in/yr]/ft)</w:t>
            </w:r>
          </w:p>
        </w:tc>
      </w:tr>
    </w:tbl>
    <w:p w14:paraId="67C2C6CA" w14:textId="77777777" w:rsidR="00B23BAC" w:rsidRDefault="00B23BAC" w:rsidP="00203691">
      <w:pPr>
        <w:pStyle w:val="DefListTitleFront"/>
      </w:pPr>
      <w:bookmarkStart w:id="19" w:name="_Toc507583981"/>
      <w:bookmarkStart w:id="20" w:name="_Toc507584035"/>
      <w:bookmarkStart w:id="21" w:name="_Toc531073706"/>
    </w:p>
    <w:p w14:paraId="0181ACE4" w14:textId="6E41A779" w:rsidR="00203691" w:rsidRDefault="00203691" w:rsidP="00203691">
      <w:pPr>
        <w:pStyle w:val="DefListTitleFront"/>
      </w:pPr>
      <w:r>
        <w:t>Abbreviations</w:t>
      </w:r>
      <w:bookmarkEnd w:id="19"/>
      <w:bookmarkEnd w:id="20"/>
      <w:bookmarkEnd w:id="21"/>
    </w:p>
    <w:p w14:paraId="66D26817" w14:textId="2767E5A1" w:rsidR="00203691" w:rsidRDefault="006A110F" w:rsidP="00203691">
      <w:pPr>
        <w:pStyle w:val="DefListItem"/>
      </w:pPr>
      <w:r>
        <w:t>ADB</w:t>
      </w:r>
      <w:r w:rsidR="00203691">
        <w:tab/>
      </w:r>
      <w:r>
        <w:t>Asian Development Bank</w:t>
      </w:r>
    </w:p>
    <w:p w14:paraId="60739144" w14:textId="46BD2026" w:rsidR="006506B0" w:rsidRDefault="00C31D7A" w:rsidP="00203691">
      <w:pPr>
        <w:pStyle w:val="DefListItem"/>
      </w:pPr>
      <w:r>
        <w:t>FSM</w:t>
      </w:r>
      <w:r>
        <w:tab/>
        <w:t>Federated States of Micronesia</w:t>
      </w:r>
    </w:p>
    <w:p w14:paraId="3AD91F2D" w14:textId="722647FA" w:rsidR="00C31D7A" w:rsidRDefault="00C31D7A" w:rsidP="00203691">
      <w:pPr>
        <w:pStyle w:val="DefListItem"/>
      </w:pPr>
      <w:r>
        <w:t>RMI</w:t>
      </w:r>
      <w:r>
        <w:tab/>
        <w:t>Republic of the Marshall Islands</w:t>
      </w:r>
    </w:p>
    <w:p w14:paraId="1F4E0DBE" w14:textId="77777777" w:rsidR="00203691" w:rsidRDefault="00203691" w:rsidP="00203691">
      <w:pPr>
        <w:pStyle w:val="DefListItem"/>
      </w:pPr>
      <w:r>
        <w:t>USGS</w:t>
      </w:r>
      <w:r>
        <w:tab/>
        <w:t>U.S. Geological Survey</w:t>
      </w:r>
    </w:p>
    <w:p w14:paraId="44B712F4" w14:textId="07EFEBE6" w:rsidR="00710DB2" w:rsidRDefault="00710DB2" w:rsidP="00203691">
      <w:pPr>
        <w:pStyle w:val="DefListItem"/>
      </w:pPr>
      <w:r>
        <w:t>ET</w:t>
      </w:r>
      <w:r>
        <w:tab/>
        <w:t>Evapotranspiration</w:t>
      </w:r>
    </w:p>
    <w:p w14:paraId="1071EE58" w14:textId="77777777" w:rsidR="00E05749" w:rsidRDefault="00E05749" w:rsidP="00DF36AD">
      <w:pPr>
        <w:pStyle w:val="AbstractHead"/>
      </w:pPr>
      <w:r>
        <w:t>Abstract</w:t>
      </w:r>
      <w:bookmarkEnd w:id="0"/>
      <w:bookmarkEnd w:id="1"/>
      <w:bookmarkEnd w:id="2"/>
    </w:p>
    <w:p w14:paraId="5F9AA47D" w14:textId="7D9A3373" w:rsidR="00FB39CB" w:rsidRDefault="006F5921" w:rsidP="005B77EE">
      <w:pPr>
        <w:pStyle w:val="Abstract"/>
      </w:pPr>
      <w:r>
        <w:t>The Asian Development Bank</w:t>
      </w:r>
      <w:r w:rsidR="00630618">
        <w:t xml:space="preserve"> (ADB)</w:t>
      </w:r>
      <w:r>
        <w:t xml:space="preserve"> has sought to support sustainable economic development in </w:t>
      </w:r>
      <w:r w:rsidR="009215D1">
        <w:t xml:space="preserve">developing nations of Asia since 1965. </w:t>
      </w:r>
      <w:r w:rsidR="00DF4927">
        <w:t>Since 2024</w:t>
      </w:r>
      <w:r w:rsidR="009215D1">
        <w:t xml:space="preserve">, the Water and Urban Development Sector office </w:t>
      </w:r>
      <w:r w:rsidR="00380705">
        <w:t xml:space="preserve">has been in consultation </w:t>
      </w:r>
      <w:r w:rsidR="000B7858">
        <w:t>with</w:t>
      </w:r>
      <w:r w:rsidR="00B51A4B">
        <w:t xml:space="preserve"> seven Pacific Ocean nations</w:t>
      </w:r>
      <w:r w:rsidR="00380705">
        <w:t>. One result of the consultations was</w:t>
      </w:r>
      <w:r w:rsidR="00D542B5">
        <w:t xml:space="preserve"> that all seven nations sought </w:t>
      </w:r>
      <w:r w:rsidR="00DD6C13">
        <w:t xml:space="preserve">technical assistance with managing water resources. </w:t>
      </w:r>
      <w:r w:rsidR="00D84DE6">
        <w:t xml:space="preserve">ADB asked the United States Geological Survey (USGS) if there were one or more ways USGS could help </w:t>
      </w:r>
      <w:r w:rsidR="00C00B90">
        <w:t>increase water security on these islands. USGS responded by making use of Earth observation satellite</w:t>
      </w:r>
      <w:r w:rsidR="003F7F12">
        <w:t xml:space="preserve"> </w:t>
      </w:r>
      <w:r w:rsidR="2B6526A7">
        <w:t>data</w:t>
      </w:r>
      <w:r w:rsidR="003F7F12">
        <w:t xml:space="preserve"> to determine the availability of water from precipitation</w:t>
      </w:r>
      <w:r w:rsidR="6C329F5F">
        <w:t>,</w:t>
      </w:r>
      <w:r w:rsidR="003F7F12">
        <w:t xml:space="preserve"> </w:t>
      </w:r>
      <w:r w:rsidR="00A03F8C">
        <w:t>less evapotranspiration</w:t>
      </w:r>
      <w:r w:rsidR="2FAC40CB">
        <w:t>,</w:t>
      </w:r>
      <w:r w:rsidR="00A03F8C">
        <w:t xml:space="preserve"> </w:t>
      </w:r>
      <w:r w:rsidR="003F7F12">
        <w:t xml:space="preserve">and to calculate some of the expected demand for water. </w:t>
      </w:r>
      <w:r w:rsidR="00FD58EF">
        <w:t xml:space="preserve">While the </w:t>
      </w:r>
      <w:r w:rsidR="00255EA0">
        <w:t xml:space="preserve">annual water balance for these locations is </w:t>
      </w:r>
      <w:r w:rsidR="00FF17C2">
        <w:t xml:space="preserve">in general </w:t>
      </w:r>
      <w:r w:rsidR="00255EA0">
        <w:t xml:space="preserve">positive due to more rain falling than the amount </w:t>
      </w:r>
      <w:r w:rsidR="00255EA0">
        <w:lastRenderedPageBreak/>
        <w:t>of water evaporating, the timing of the precipitation is problematic</w:t>
      </w:r>
      <w:r w:rsidR="00CA0C12">
        <w:t xml:space="preserve"> because acute water shortages occur for weeks or months</w:t>
      </w:r>
      <w:r w:rsidR="00E23180">
        <w:t xml:space="preserve"> at a time when the wet monsoon does not restart promptly</w:t>
      </w:r>
      <w:r w:rsidR="00CA0C12">
        <w:t xml:space="preserve">. </w:t>
      </w:r>
    </w:p>
    <w:p w14:paraId="599FCA3C" w14:textId="7581AEA5" w:rsidR="006F5921" w:rsidRDefault="00FB39CB" w:rsidP="005B77EE">
      <w:pPr>
        <w:pStyle w:val="Abstract"/>
      </w:pPr>
      <w:r>
        <w:t>In recent years</w:t>
      </w:r>
      <w:r w:rsidR="7C1376E7">
        <w:t>,</w:t>
      </w:r>
      <w:r>
        <w:t xml:space="preserve"> </w:t>
      </w:r>
      <w:r w:rsidR="00E60C83">
        <w:t xml:space="preserve">the monsoon </w:t>
      </w:r>
      <w:r w:rsidR="00DD7E46">
        <w:t>timing</w:t>
      </w:r>
      <w:r w:rsidR="00E60C83">
        <w:t xml:space="preserve"> and intensity </w:t>
      </w:r>
      <w:r w:rsidR="00261F3B">
        <w:t>showed</w:t>
      </w:r>
      <w:r w:rsidR="00353E43">
        <w:t xml:space="preserve"> more </w:t>
      </w:r>
      <w:r w:rsidR="00E14D99">
        <w:t>variability. If water conservation and storage stra</w:t>
      </w:r>
      <w:r w:rsidR="00142F01">
        <w:t xml:space="preserve">tegies were desired, then the data and analyses presented in this report could be useful for guiding </w:t>
      </w:r>
      <w:r w:rsidR="001A6934">
        <w:t>timing and volume of storage.</w:t>
      </w:r>
      <w:r w:rsidR="00861F0D">
        <w:t xml:space="preserve"> </w:t>
      </w:r>
      <w:r w:rsidR="00B37306">
        <w:t xml:space="preserve">In addition to </w:t>
      </w:r>
      <w:r w:rsidR="007A3FA9">
        <w:t xml:space="preserve">water data, </w:t>
      </w:r>
      <w:r w:rsidR="00861F0D">
        <w:t xml:space="preserve">USGS also offered to </w:t>
      </w:r>
      <w:r w:rsidR="00A76AA9">
        <w:t xml:space="preserve">report on nearby seismicity for some of the islands studied to help understand and assess the degree of risk from </w:t>
      </w:r>
      <w:r w:rsidR="00332B6C">
        <w:t>earthquakes and tsunamis.</w:t>
      </w:r>
    </w:p>
    <w:p w14:paraId="64A60D78" w14:textId="7E053F8F" w:rsidR="00DA6B7A" w:rsidRDefault="00DA6B7A" w:rsidP="00DA6B7A">
      <w:pPr>
        <w:pStyle w:val="Head1"/>
      </w:pPr>
      <w:bookmarkStart w:id="22" w:name="_Toc507583983"/>
      <w:bookmarkStart w:id="23" w:name="_Toc507584037"/>
      <w:bookmarkStart w:id="24" w:name="_Toc531073708"/>
      <w:bookmarkStart w:id="25" w:name="_Toc228290428"/>
      <w:r>
        <w:t>Introduction</w:t>
      </w:r>
      <w:bookmarkEnd w:id="22"/>
      <w:bookmarkEnd w:id="23"/>
      <w:bookmarkEnd w:id="24"/>
      <w:bookmarkEnd w:id="25"/>
    </w:p>
    <w:p w14:paraId="065FA501" w14:textId="12BFE65E" w:rsidR="006A110F" w:rsidRPr="006A110F" w:rsidRDefault="006A110F" w:rsidP="006A110F">
      <w:pPr>
        <w:pStyle w:val="BodyText"/>
      </w:pPr>
      <w:bookmarkStart w:id="26" w:name="_Ref78877437"/>
      <w:bookmarkStart w:id="27" w:name="_Ref20754636"/>
      <w:r w:rsidRPr="006A110F">
        <w:t>Freshwater is critically important for life but is often in short supply</w:t>
      </w:r>
      <w:r w:rsidR="00BE4FE5">
        <w:t xml:space="preserve"> for weeks or months at a time</w:t>
      </w:r>
      <w:r w:rsidRPr="006A110F">
        <w:t xml:space="preserve"> on islands of the Pacific Ocean. Utilities</w:t>
      </w:r>
      <w:r w:rsidR="0013689D">
        <w:t xml:space="preserve">, </w:t>
      </w:r>
      <w:r w:rsidRPr="006A110F">
        <w:t>managers</w:t>
      </w:r>
      <w:r w:rsidR="0013689D">
        <w:t>, and the public</w:t>
      </w:r>
      <w:r w:rsidRPr="006A110F">
        <w:t xml:space="preserve"> need the best information</w:t>
      </w:r>
      <w:r w:rsidR="00344036">
        <w:t xml:space="preserve"> available to support </w:t>
      </w:r>
      <w:r w:rsidR="009B5C9C">
        <w:t>knowledgeable</w:t>
      </w:r>
      <w:r w:rsidR="00344036">
        <w:t xml:space="preserve"> water management, </w:t>
      </w:r>
      <w:r w:rsidRPr="006A110F">
        <w:t xml:space="preserve">especially for </w:t>
      </w:r>
      <w:r w:rsidR="00B400CF">
        <w:t>reducing the negative impacts of</w:t>
      </w:r>
      <w:r w:rsidRPr="006A110F">
        <w:t xml:space="preserve"> water shortages to the extent possible. The</w:t>
      </w:r>
      <w:r w:rsidR="00926D13">
        <w:t xml:space="preserve"> primary objective of the</w:t>
      </w:r>
      <w:r w:rsidRPr="006A110F">
        <w:t xml:space="preserve"> Asian Development Bank (ADB)</w:t>
      </w:r>
      <w:r w:rsidR="00926D13">
        <w:t xml:space="preserve"> is </w:t>
      </w:r>
      <w:r w:rsidR="00926D13" w:rsidDel="00637B64">
        <w:t xml:space="preserve">to </w:t>
      </w:r>
      <w:r w:rsidR="00691F46">
        <w:t xml:space="preserve">foster economic growth and cooperation </w:t>
      </w:r>
      <w:r w:rsidR="0059306C">
        <w:t xml:space="preserve">in </w:t>
      </w:r>
      <w:r w:rsidRPr="006A110F">
        <w:t>Asia</w:t>
      </w:r>
      <w:r w:rsidR="00920139">
        <w:t>, including providing technical assistance</w:t>
      </w:r>
      <w:r w:rsidR="00691F46">
        <w:t xml:space="preserve"> (ADB, 196</w:t>
      </w:r>
      <w:r w:rsidR="00450D4F">
        <w:t>5</w:t>
      </w:r>
      <w:r w:rsidR="007903E8">
        <w:t xml:space="preserve">; see: </w:t>
      </w:r>
      <w:hyperlink r:id="rId11" w:history="1">
        <w:r w:rsidR="002A0984" w:rsidRPr="000F532B">
          <w:rPr>
            <w:rStyle w:val="Hyperlink"/>
          </w:rPr>
          <w:t>www.adb.org</w:t>
        </w:r>
      </w:hyperlink>
      <w:r w:rsidR="002A0984">
        <w:t>)</w:t>
      </w:r>
      <w:r w:rsidR="00637B64">
        <w:t xml:space="preserve"> throu</w:t>
      </w:r>
      <w:r w:rsidR="00EC0F9B">
        <w:t>gh donor-funded assistance</w:t>
      </w:r>
      <w:r w:rsidRPr="006A110F">
        <w:t>.</w:t>
      </w:r>
      <w:r w:rsidR="005060BB">
        <w:t xml:space="preserve"> Dependable access to </w:t>
      </w:r>
      <w:r w:rsidR="003C332E">
        <w:t xml:space="preserve">safe and </w:t>
      </w:r>
      <w:r w:rsidR="006329D0">
        <w:t>reliable</w:t>
      </w:r>
      <w:r w:rsidR="003C332E">
        <w:t xml:space="preserve"> </w:t>
      </w:r>
      <w:r w:rsidR="005060BB">
        <w:t>water sources</w:t>
      </w:r>
      <w:r w:rsidR="005060BB" w:rsidDel="003C332E">
        <w:t xml:space="preserve"> </w:t>
      </w:r>
      <w:r w:rsidR="00D409C0">
        <w:t>is a critical</w:t>
      </w:r>
      <w:r w:rsidR="00991855">
        <w:t>ly important foundation</w:t>
      </w:r>
      <w:r w:rsidR="00D409C0">
        <w:t xml:space="preserve"> of</w:t>
      </w:r>
      <w:r w:rsidR="00EE3104">
        <w:t xml:space="preserve"> sustainable</w:t>
      </w:r>
      <w:r w:rsidR="00D409C0">
        <w:t xml:space="preserve"> economic growth</w:t>
      </w:r>
      <w:r w:rsidR="00F33B72">
        <w:t xml:space="preserve"> because</w:t>
      </w:r>
      <w:r w:rsidR="00F33B72" w:rsidRPr="00F33B72">
        <w:t xml:space="preserve"> water security underpins long‑term economic stability</w:t>
      </w:r>
      <w:r w:rsidRPr="006A110F" w:rsidDel="00D237E0">
        <w:t>.</w:t>
      </w:r>
      <w:r w:rsidRPr="006A110F">
        <w:t xml:space="preserve"> </w:t>
      </w:r>
      <w:r w:rsidR="00FD35AD">
        <w:t xml:space="preserve">Sustainable management </w:t>
      </w:r>
      <w:r w:rsidR="001C1796">
        <w:t xml:space="preserve">becomes more effective when </w:t>
      </w:r>
      <w:r w:rsidRPr="006A110F">
        <w:t>water managers understand</w:t>
      </w:r>
      <w:r w:rsidR="009B1802">
        <w:t xml:space="preserve"> </w:t>
      </w:r>
      <w:r w:rsidR="00A135C7">
        <w:t>how much water is available</w:t>
      </w:r>
      <w:r w:rsidR="00DB6D8E">
        <w:t xml:space="preserve"> and when it is </w:t>
      </w:r>
      <w:r w:rsidR="005B6292">
        <w:t>available</w:t>
      </w:r>
      <w:r w:rsidR="00E21F25">
        <w:t xml:space="preserve">. </w:t>
      </w:r>
      <w:r w:rsidR="006E3F84" w:rsidRPr="006E3F84">
        <w:t xml:space="preserve">These insights can </w:t>
      </w:r>
      <w:r w:rsidR="006E3F84">
        <w:t>aid in decision-making</w:t>
      </w:r>
      <w:r w:rsidR="006E3F84" w:rsidRPr="006E3F84">
        <w:t xml:space="preserve"> when infrastructure investments—such as expanded storage capacity—would meaningfully reduce vulnerability. As information improves, storage systems can be operated more efficiently, and development planning can be grounded in realistic expectations of future water availability.</w:t>
      </w:r>
    </w:p>
    <w:p w14:paraId="5CB24603" w14:textId="797616CC" w:rsidR="00B76A12" w:rsidRDefault="006A110F" w:rsidP="003E1F8B">
      <w:pPr>
        <w:pStyle w:val="BodyText"/>
        <w:ind w:firstLine="0"/>
      </w:pPr>
      <w:r w:rsidRPr="006A110F">
        <w:lastRenderedPageBreak/>
        <w:t xml:space="preserve">The </w:t>
      </w:r>
      <w:r>
        <w:t>U.S.</w:t>
      </w:r>
      <w:r w:rsidRPr="006A110F">
        <w:t xml:space="preserve"> Geological Survey (USGS)</w:t>
      </w:r>
      <w:r w:rsidR="00135F12">
        <w:t xml:space="preserve"> </w:t>
      </w:r>
      <w:r w:rsidR="00036982">
        <w:t xml:space="preserve">is </w:t>
      </w:r>
      <w:r w:rsidR="008D1842">
        <w:t>part of</w:t>
      </w:r>
      <w:r w:rsidR="00036982">
        <w:t xml:space="preserve"> the Department of the Interior and </w:t>
      </w:r>
      <w:r w:rsidR="00135F12">
        <w:t xml:space="preserve">provides </w:t>
      </w:r>
      <w:r w:rsidR="00036982">
        <w:t>rel</w:t>
      </w:r>
      <w:r w:rsidR="00E24A63">
        <w:t xml:space="preserve">evant </w:t>
      </w:r>
      <w:r w:rsidR="005E57AC">
        <w:t xml:space="preserve">data </w:t>
      </w:r>
      <w:r w:rsidR="00034686">
        <w:t>about natural resources</w:t>
      </w:r>
      <w:r w:rsidR="005E57AC">
        <w:t xml:space="preserve"> and</w:t>
      </w:r>
      <w:r w:rsidR="00034686">
        <w:t xml:space="preserve"> hazards </w:t>
      </w:r>
      <w:r w:rsidR="0074444A">
        <w:t xml:space="preserve">to </w:t>
      </w:r>
      <w:r w:rsidR="0074444A" w:rsidRPr="0074444A">
        <w:t>monitor, analyze, and predict Earth’s changing systems</w:t>
      </w:r>
      <w:r w:rsidR="0074444A">
        <w:t xml:space="preserve">. </w:t>
      </w:r>
      <w:r w:rsidR="009B2FE5">
        <w:t>Science</w:t>
      </w:r>
      <w:r w:rsidR="000B5E69">
        <w:t xml:space="preserve"> is clear and reliable </w:t>
      </w:r>
      <w:r w:rsidR="00500FE2">
        <w:t>to provide</w:t>
      </w:r>
      <w:r w:rsidR="00682E40">
        <w:t xml:space="preserve"> hazard prediction, </w:t>
      </w:r>
      <w:r w:rsidR="00500FE2">
        <w:t xml:space="preserve">strengthen </w:t>
      </w:r>
      <w:r w:rsidR="00682E40">
        <w:t xml:space="preserve">water infrastructure </w:t>
      </w:r>
      <w:r w:rsidR="00500FE2">
        <w:t xml:space="preserve">and </w:t>
      </w:r>
      <w:proofErr w:type="gramStart"/>
      <w:r w:rsidR="00500FE2">
        <w:t>promotes</w:t>
      </w:r>
      <w:proofErr w:type="gramEnd"/>
      <w:r w:rsidR="00500FE2">
        <w:t xml:space="preserve"> economic growth</w:t>
      </w:r>
      <w:r w:rsidR="00135F12">
        <w:t xml:space="preserve"> </w:t>
      </w:r>
      <w:r w:rsidR="00DD0C76">
        <w:t xml:space="preserve">(see: </w:t>
      </w:r>
      <w:hyperlink r:id="rId12" w:history="1">
        <w:r w:rsidR="007903E8" w:rsidRPr="000F532B">
          <w:rPr>
            <w:rStyle w:val="Hyperlink"/>
          </w:rPr>
          <w:t>www.usgs.gov</w:t>
        </w:r>
      </w:hyperlink>
      <w:r w:rsidR="007903E8">
        <w:t xml:space="preserve">). </w:t>
      </w:r>
      <w:r w:rsidR="008E0234">
        <w:t xml:space="preserve">Beginning in </w:t>
      </w:r>
      <w:r w:rsidR="00790072">
        <w:t xml:space="preserve">2024, </w:t>
      </w:r>
      <w:r w:rsidR="00250CD9">
        <w:t xml:space="preserve">the </w:t>
      </w:r>
      <w:r w:rsidR="007903E8">
        <w:t>USGS</w:t>
      </w:r>
      <w:r w:rsidRPr="006A110F">
        <w:t xml:space="preserve"> entered a collaborative relationship with ADB to assess the utility of various remotely sensed data</w:t>
      </w:r>
      <w:r w:rsidR="00835A36">
        <w:t xml:space="preserve"> sets including precipitation, evapotranspiration, </w:t>
      </w:r>
      <w:r w:rsidR="006E05B4">
        <w:t>land cover and land use</w:t>
      </w:r>
      <w:r w:rsidR="004031BC">
        <w:t xml:space="preserve"> from satellites orbiting the Earth</w:t>
      </w:r>
      <w:r w:rsidRPr="006A110F">
        <w:t xml:space="preserve"> </w:t>
      </w:r>
      <w:r w:rsidR="009E6AF8">
        <w:t xml:space="preserve">to evaluate and analyze </w:t>
      </w:r>
      <w:r w:rsidRPr="006A110F">
        <w:t>water management</w:t>
      </w:r>
      <w:r w:rsidR="003B295F">
        <w:t xml:space="preserve"> challenges</w:t>
      </w:r>
      <w:r w:rsidRPr="006A110F">
        <w:t xml:space="preserve"> on </w:t>
      </w:r>
      <w:r w:rsidR="00FE09CF">
        <w:t>islands of</w:t>
      </w:r>
      <w:r w:rsidRPr="006A110F" w:rsidDel="00ED59AC">
        <w:t xml:space="preserve"> </w:t>
      </w:r>
      <w:r w:rsidR="0005601D">
        <w:t>selected</w:t>
      </w:r>
      <w:r w:rsidR="00ED59AC" w:rsidRPr="006A110F">
        <w:t xml:space="preserve"> </w:t>
      </w:r>
      <w:r w:rsidRPr="006A110F">
        <w:t xml:space="preserve">Pacific </w:t>
      </w:r>
      <w:r w:rsidR="00C468E0">
        <w:t>Ocean</w:t>
      </w:r>
      <w:r w:rsidRPr="006A110F">
        <w:t xml:space="preserve"> nations, including </w:t>
      </w:r>
      <w:r w:rsidRPr="003E1F8B">
        <w:t>Federated States of Micronesia</w:t>
      </w:r>
      <w:r w:rsidR="007D7DCD" w:rsidRPr="003E1F8B">
        <w:t xml:space="preserve"> (FSM)</w:t>
      </w:r>
      <w:r w:rsidRPr="003E1F8B">
        <w:t>, Fiji, Nauru, Papua New Guinea, Republic of the Marshall Islands</w:t>
      </w:r>
      <w:r w:rsidR="007D7DCD" w:rsidRPr="003E1F8B">
        <w:t xml:space="preserve"> (RMI)</w:t>
      </w:r>
      <w:r w:rsidRPr="003E1F8B">
        <w:t>, Solomon Islands, and Vanuatu</w:t>
      </w:r>
      <w:r w:rsidRPr="006A110F" w:rsidDel="00191E2C">
        <w:t xml:space="preserve">. </w:t>
      </w:r>
      <w:r w:rsidR="00302BAA">
        <w:t>Besides the satellite data</w:t>
      </w:r>
      <w:r w:rsidR="00692F89">
        <w:t xml:space="preserve">, field observations from rainfall gauges </w:t>
      </w:r>
      <w:r w:rsidR="007477C0">
        <w:t xml:space="preserve">were </w:t>
      </w:r>
      <w:r w:rsidR="00692F89">
        <w:t xml:space="preserve">used to </w:t>
      </w:r>
      <w:r w:rsidR="00D9022A">
        <w:t>indepen</w:t>
      </w:r>
      <w:r w:rsidR="00B76A12" w:rsidRPr="006A110F">
        <w:t xml:space="preserve">dently assess for </w:t>
      </w:r>
      <w:r w:rsidR="00DB2E7F">
        <w:t>accuracy</w:t>
      </w:r>
      <w:r w:rsidR="00B76A12" w:rsidRPr="006A110F">
        <w:t xml:space="preserve">. One advantage of </w:t>
      </w:r>
      <w:r w:rsidR="00B755AE">
        <w:t>the</w:t>
      </w:r>
      <w:r w:rsidR="00B76A12" w:rsidRPr="006A110F">
        <w:t xml:space="preserve"> methods</w:t>
      </w:r>
      <w:r w:rsidR="00B755AE">
        <w:t xml:space="preserve"> employed</w:t>
      </w:r>
      <w:r w:rsidR="00C3612E">
        <w:t xml:space="preserve"> </w:t>
      </w:r>
      <w:r w:rsidR="00B76A12" w:rsidRPr="006A110F">
        <w:t xml:space="preserve">is that surface water resources may be estimated </w:t>
      </w:r>
      <w:r w:rsidR="003D5BE4">
        <w:t xml:space="preserve">with reasonable accuracy </w:t>
      </w:r>
      <w:r w:rsidR="00B76A12" w:rsidRPr="006A110F">
        <w:t>where little or no on</w:t>
      </w:r>
      <w:r w:rsidR="00B76A12">
        <w:t>-</w:t>
      </w:r>
      <w:r w:rsidR="00B76A12" w:rsidRPr="006A110F">
        <w:t>the</w:t>
      </w:r>
      <w:r w:rsidR="00B76A12">
        <w:t>-</w:t>
      </w:r>
      <w:r w:rsidR="00B76A12" w:rsidRPr="006A110F">
        <w:t>ground monitoring occurs.</w:t>
      </w:r>
      <w:r w:rsidR="00B76A12">
        <w:t xml:space="preserve"> </w:t>
      </w:r>
      <w:r w:rsidR="00BD7CF9">
        <w:t xml:space="preserve">In addition, satellite </w:t>
      </w:r>
      <w:r w:rsidR="00DB270E">
        <w:t>data provide spatially continuous coverage that captures precipitation or evapotranspiration patterns</w:t>
      </w:r>
      <w:r w:rsidR="005C46DB">
        <w:t xml:space="preserve"> across the entire </w:t>
      </w:r>
      <w:r w:rsidR="44621609">
        <w:t>island nation</w:t>
      </w:r>
      <w:r w:rsidR="005C46DB">
        <w:t>, rather than only at isolated gauge locations. Their co</w:t>
      </w:r>
      <w:r w:rsidR="007B1ED5">
        <w:t>nsistent, long-term records make it possible to evaluate interannual varia</w:t>
      </w:r>
      <w:r w:rsidR="00C50B9D">
        <w:t>bility and climate-driven changes in water availability, even in periods when ground-based measurements are incomplete or unavailable.</w:t>
      </w:r>
    </w:p>
    <w:p w14:paraId="12F72660" w14:textId="78A6E376" w:rsidR="00F63190" w:rsidRDefault="00F63190" w:rsidP="007D7DCD">
      <w:pPr>
        <w:pStyle w:val="BodyText"/>
      </w:pPr>
      <w:r>
        <w:t xml:space="preserve">The USGS </w:t>
      </w:r>
      <w:proofErr w:type="gramStart"/>
      <w:r w:rsidR="009F22EB">
        <w:t>conducted an assessment of</w:t>
      </w:r>
      <w:proofErr w:type="gramEnd"/>
      <w:r w:rsidR="009F22EB">
        <w:t xml:space="preserve"> regional seismicity for several of the islands</w:t>
      </w:r>
      <w:r w:rsidR="00D41F1F">
        <w:t xml:space="preserve">, providing important context for understanding broader environmental risk. Although the primary </w:t>
      </w:r>
      <w:r w:rsidR="000544EB">
        <w:t>focus of this work is water availability and drought monitoring, seismic activity can influence island stability, coastal integrity, and the potential for tsu</w:t>
      </w:r>
      <w:r w:rsidR="00616A6C">
        <w:t>nami generation</w:t>
      </w:r>
      <w:r w:rsidR="6732781A">
        <w:t>, which can threaten groundwater resources</w:t>
      </w:r>
      <w:r w:rsidR="00916925">
        <w:t xml:space="preserve">. Incorporating seismic information alongside hydrologic data therefore </w:t>
      </w:r>
      <w:r w:rsidR="00916925">
        <w:lastRenderedPageBreak/>
        <w:t>offers a more complete picture of the natural hazards faced by these islands and supports more informed and risk-reduction strategies.</w:t>
      </w:r>
    </w:p>
    <w:p w14:paraId="6C3CDFC7" w14:textId="107905B0" w:rsidR="00F63190" w:rsidRDefault="145D7E24" w:rsidP="007D7DCD">
      <w:pPr>
        <w:pStyle w:val="BodyText"/>
      </w:pPr>
      <w:r>
        <w:t>T</w:t>
      </w:r>
      <w:r w:rsidR="00BB12C7">
        <w:t xml:space="preserve">he combined evaluation of water balance dynamic, drought conditions, forecasting capabilities, and regional seismicity offers a comprehensive and </w:t>
      </w:r>
      <w:r w:rsidR="00E85D47">
        <w:t>integrated</w:t>
      </w:r>
      <w:r w:rsidR="00BB12C7">
        <w:t xml:space="preserve"> understanding of the hydrologic vulnerability of the islands. This multi</w:t>
      </w:r>
      <w:r w:rsidR="00E85D47">
        <w:t>faceted perspective equips stakeholders with a stronger scientific foundation for anticipating environmental stressors and developing resilient, forward-looking water management strategies that account for both climatic and geophysical risks.</w:t>
      </w:r>
    </w:p>
    <w:p w14:paraId="6912AA1A" w14:textId="77777777" w:rsidR="009754D1" w:rsidRPr="00541983" w:rsidRDefault="009754D1" w:rsidP="006A110F">
      <w:pPr>
        <w:pStyle w:val="FigureCaption"/>
      </w:pPr>
    </w:p>
    <w:p w14:paraId="5B0B1D8A" w14:textId="77777777" w:rsidR="002F4C0E" w:rsidRDefault="002F4C0E" w:rsidP="00DA6B7A">
      <w:pPr>
        <w:pStyle w:val="Head1"/>
      </w:pPr>
      <w:bookmarkStart w:id="28" w:name="_Toc228290429"/>
      <w:bookmarkEnd w:id="26"/>
      <w:bookmarkEnd w:id="27"/>
      <w:r>
        <w:t>Purpose and Scope</w:t>
      </w:r>
      <w:bookmarkEnd w:id="28"/>
    </w:p>
    <w:p w14:paraId="696ACADF" w14:textId="36F45EE7" w:rsidR="00B76B98" w:rsidRDefault="0028774E" w:rsidP="00B27D2C">
      <w:pPr>
        <w:pStyle w:val="BodyText"/>
      </w:pPr>
      <w:r>
        <w:t xml:space="preserve">The USGS and ADB are working together to reduce water insecurity by improving how Pacific </w:t>
      </w:r>
      <w:r w:rsidR="004635BC">
        <w:t>Island</w:t>
      </w:r>
      <w:r>
        <w:t xml:space="preserve"> </w:t>
      </w:r>
      <w:r w:rsidR="009B2FE5">
        <w:t>communities’</w:t>
      </w:r>
      <w:r>
        <w:t xml:space="preserve"> access and use watermonitoring information. Through this collaboration, the USGS provides scientific data, forecasting tools, and technical expertise, while the ADB supports the integration of these resources into local planning</w:t>
      </w:r>
      <w:r w:rsidR="5815CD29">
        <w:t>, hazard reduction,</w:t>
      </w:r>
      <w:r>
        <w:t xml:space="preserve"> and infrastructure development. By making reliable, timely water information more widely available, the partnership helps utilities, managers, and policymakers anticipate shortages, manage supplies more efficiently, and strengthen </w:t>
      </w:r>
      <w:r w:rsidR="009B2FE5">
        <w:t>long-term</w:t>
      </w:r>
      <w:r>
        <w:t xml:space="preserve"> resilience to </w:t>
      </w:r>
      <w:r w:rsidR="009B2FE5">
        <w:t>climate driven</w:t>
      </w:r>
      <w:r>
        <w:t xml:space="preserve"> variability.</w:t>
      </w:r>
      <w:r w:rsidR="00B76B98">
        <w:t xml:space="preserve"> </w:t>
      </w:r>
    </w:p>
    <w:p w14:paraId="484CB237" w14:textId="114C73CC" w:rsidR="004C208D" w:rsidRDefault="004C208D" w:rsidP="00B27D2C">
      <w:pPr>
        <w:pStyle w:val="BodyText"/>
      </w:pPr>
      <w:r w:rsidRPr="004C208D">
        <w:t xml:space="preserve">This effort spans a region unlike any other: the subject countries are distributed across a vast and remote expanse of the Pacific, where islands are separated by thousands of kilometers of open ocean and face highly localized climate and hydrologic conditions. Understanding this geographic context is essential, because the isolation and dispersion of these islands shape everything from data availability to the feasibility of infrastructure investments. An overview </w:t>
      </w:r>
      <w:r w:rsidRPr="004C208D">
        <w:lastRenderedPageBreak/>
        <w:t xml:space="preserve">map of the study region </w:t>
      </w:r>
      <w:r w:rsidR="005C21C4">
        <w:t>(</w:t>
      </w:r>
      <w:r w:rsidR="00CA41F4">
        <w:fldChar w:fldCharType="begin"/>
      </w:r>
      <w:r w:rsidR="00CA41F4">
        <w:instrText xml:space="preserve"> REF _Ref227322450 \h </w:instrText>
      </w:r>
      <w:r w:rsidR="00CA41F4">
        <w:fldChar w:fldCharType="separate"/>
      </w:r>
      <w:r w:rsidR="00CA41F4">
        <w:t xml:space="preserve">Figure </w:t>
      </w:r>
      <w:r w:rsidR="00CA41F4">
        <w:rPr>
          <w:noProof/>
        </w:rPr>
        <w:t>1</w:t>
      </w:r>
      <w:r w:rsidR="00CA41F4">
        <w:fldChar w:fldCharType="end"/>
      </w:r>
      <w:r w:rsidR="005C21C4">
        <w:t xml:space="preserve">) </w:t>
      </w:r>
      <w:r w:rsidR="00243DE1">
        <w:t>shows</w:t>
      </w:r>
      <w:r w:rsidR="000A103A">
        <w:t xml:space="preserve"> which islands</w:t>
      </w:r>
      <w:r w:rsidR="00DE7EA8">
        <w:t xml:space="preserve"> were used in the study and </w:t>
      </w:r>
      <w:r w:rsidRPr="004C208D">
        <w:t>helps illustrate the scale of how widely the islands are spread across the Pacific</w:t>
      </w:r>
      <w:r w:rsidR="00A80AB1">
        <w:t xml:space="preserve"> Ocean</w:t>
      </w:r>
      <w:r w:rsidRPr="004C208D">
        <w:t>.</w:t>
      </w:r>
    </w:p>
    <w:p w14:paraId="65F60EE9" w14:textId="656919C8" w:rsidR="00E76399" w:rsidRDefault="00E76399" w:rsidP="003E1F8B">
      <w:pPr>
        <w:pStyle w:val="BodyText"/>
        <w:ind w:firstLine="0"/>
      </w:pPr>
      <w:r>
        <w:rPr>
          <w:noProof/>
        </w:rPr>
        <w:drawing>
          <wp:inline distT="0" distB="0" distL="0" distR="0" wp14:anchorId="6A4444CC" wp14:editId="3036CB61">
            <wp:extent cx="5943599" cy="5872999"/>
            <wp:effectExtent l="0" t="0" r="635" b="0"/>
            <wp:docPr id="16933494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349457" name="Picture 1"/>
                    <pic:cNvPicPr/>
                  </pic:nvPicPr>
                  <pic:blipFill>
                    <a:blip r:embed="rId13"/>
                    <a:stretch>
                      <a:fillRect/>
                    </a:stretch>
                  </pic:blipFill>
                  <pic:spPr>
                    <a:xfrm>
                      <a:off x="0" y="0"/>
                      <a:ext cx="5943599" cy="5872999"/>
                    </a:xfrm>
                    <a:prstGeom prst="rect">
                      <a:avLst/>
                    </a:prstGeom>
                  </pic:spPr>
                </pic:pic>
              </a:graphicData>
            </a:graphic>
          </wp:inline>
        </w:drawing>
      </w:r>
    </w:p>
    <w:p w14:paraId="2BA6DBC2" w14:textId="4ED31D1B" w:rsidR="00E76399" w:rsidRDefault="00CA41F4" w:rsidP="003E1F8B">
      <w:pPr>
        <w:pStyle w:val="Caption"/>
      </w:pPr>
      <w:bookmarkStart w:id="29" w:name="_Ref227322450"/>
      <w:bookmarkStart w:id="30" w:name="_Toc228290760"/>
      <w:r>
        <w:t xml:space="preserve">Figure </w:t>
      </w:r>
      <w:r>
        <w:fldChar w:fldCharType="begin"/>
      </w:r>
      <w:r>
        <w:instrText xml:space="preserve"> SEQ Figure \* ARABIC </w:instrText>
      </w:r>
      <w:r>
        <w:fldChar w:fldCharType="separate"/>
      </w:r>
      <w:r w:rsidR="007A325D">
        <w:rPr>
          <w:noProof/>
        </w:rPr>
        <w:t>1</w:t>
      </w:r>
      <w:r>
        <w:fldChar w:fldCharType="end"/>
      </w:r>
      <w:bookmarkEnd w:id="29"/>
      <w:r>
        <w:t>. Map of the Pacific Island nations of Federated States of Micronesia (FSM), Fiji, Nauru, Papua New Guinea, Republic of the Marshall Islands (RMI), Solomon Islands, and Vanuatu. The study sites are highlighted in a dark color (black) for each nation.</w:t>
      </w:r>
      <w:bookmarkEnd w:id="30"/>
    </w:p>
    <w:p w14:paraId="53ABE93C" w14:textId="77777777" w:rsidR="00622D8D" w:rsidRDefault="00622D8D" w:rsidP="00B27D2C">
      <w:pPr>
        <w:pStyle w:val="FigureCaption"/>
      </w:pPr>
    </w:p>
    <w:p w14:paraId="535EF431" w14:textId="32CD3DF5" w:rsidR="008D47B3" w:rsidRDefault="00A65CAB" w:rsidP="008D47B3">
      <w:pPr>
        <w:pStyle w:val="BodyText"/>
      </w:pPr>
      <w:r>
        <w:lastRenderedPageBreak/>
        <w:t xml:space="preserve">Based on the </w:t>
      </w:r>
      <w:r w:rsidR="00392676">
        <w:t xml:space="preserve">large geographic region and the very localized </w:t>
      </w:r>
      <w:r w:rsidR="00741BC9">
        <w:t xml:space="preserve">conditions for each study site the following </w:t>
      </w:r>
      <w:r w:rsidR="007D6D7A">
        <w:t>assessments</w:t>
      </w:r>
      <w:r w:rsidR="001D7640">
        <w:t xml:space="preserve"> were conducted for each study site (</w:t>
      </w:r>
      <w:r w:rsidR="00C56109">
        <w:fldChar w:fldCharType="begin"/>
      </w:r>
      <w:r w:rsidR="00C56109">
        <w:instrText xml:space="preserve"> REF _Ref227322507 \h </w:instrText>
      </w:r>
      <w:r w:rsidR="00C56109">
        <w:fldChar w:fldCharType="separate"/>
      </w:r>
      <w:r w:rsidR="00C56109">
        <w:t xml:space="preserve">Table </w:t>
      </w:r>
      <w:r w:rsidR="00C56109">
        <w:rPr>
          <w:noProof/>
        </w:rPr>
        <w:t>1</w:t>
      </w:r>
      <w:r w:rsidR="00C56109">
        <w:fldChar w:fldCharType="end"/>
      </w:r>
      <w:r w:rsidR="001D7640">
        <w:t>).</w:t>
      </w:r>
      <w:r w:rsidR="004B4D24">
        <w:t xml:space="preserve"> The tasks were decided by the countries </w:t>
      </w:r>
      <w:r w:rsidR="001028AB">
        <w:t xml:space="preserve">to </w:t>
      </w:r>
      <w:r w:rsidR="004106B4">
        <w:t>meet</w:t>
      </w:r>
      <w:r w:rsidR="001028AB">
        <w:t xml:space="preserve"> their </w:t>
      </w:r>
      <w:r w:rsidR="004106B4">
        <w:t>individual</w:t>
      </w:r>
      <w:r w:rsidR="001028AB">
        <w:t xml:space="preserve"> needs </w:t>
      </w:r>
      <w:r w:rsidR="008D47B3" w:rsidRPr="001E30D7">
        <w:t>to characterize water availability, identify vulnerabilities, and outline opportunities for strengthening water security through improved monitoring, planning, and management.</w:t>
      </w:r>
    </w:p>
    <w:p w14:paraId="6E40F47C" w14:textId="77777777" w:rsidR="003B050D" w:rsidRPr="001E30D7" w:rsidRDefault="003B050D" w:rsidP="008D47B3">
      <w:pPr>
        <w:pStyle w:val="BodyText"/>
      </w:pPr>
    </w:p>
    <w:p w14:paraId="22DAB80A" w14:textId="1EC6A4FF" w:rsidR="007840E0" w:rsidRPr="00710DB2" w:rsidRDefault="003B050D" w:rsidP="007840E0">
      <w:pPr>
        <w:pStyle w:val="BodyText"/>
        <w:spacing w:before="0" w:line="240" w:lineRule="auto"/>
        <w:rPr>
          <w:rFonts w:ascii="Arial Narrow" w:hAnsi="Arial Narrow"/>
        </w:rPr>
      </w:pPr>
      <w:bookmarkStart w:id="31" w:name="_Ref227322507"/>
      <w:bookmarkStart w:id="32" w:name="_Toc228290768"/>
      <w:r w:rsidRPr="00710DB2">
        <w:rPr>
          <w:rFonts w:ascii="Arial Narrow" w:hAnsi="Arial Narrow"/>
        </w:rPr>
        <w:t xml:space="preserve">Table </w:t>
      </w:r>
      <w:r w:rsidRPr="00710DB2">
        <w:rPr>
          <w:rFonts w:ascii="Arial Narrow" w:hAnsi="Arial Narrow"/>
        </w:rPr>
        <w:fldChar w:fldCharType="begin"/>
      </w:r>
      <w:r w:rsidRPr="00710DB2">
        <w:rPr>
          <w:rFonts w:ascii="Arial Narrow" w:hAnsi="Arial Narrow"/>
        </w:rPr>
        <w:instrText xml:space="preserve"> SEQ Table \* ARABIC </w:instrText>
      </w:r>
      <w:r w:rsidRPr="00710DB2">
        <w:rPr>
          <w:rFonts w:ascii="Arial Narrow" w:hAnsi="Arial Narrow"/>
        </w:rPr>
        <w:fldChar w:fldCharType="separate"/>
      </w:r>
      <w:r w:rsidR="0056065C" w:rsidRPr="00710DB2">
        <w:rPr>
          <w:rFonts w:ascii="Arial Narrow" w:hAnsi="Arial Narrow"/>
          <w:noProof/>
        </w:rPr>
        <w:t>1</w:t>
      </w:r>
      <w:r w:rsidRPr="00710DB2">
        <w:rPr>
          <w:rFonts w:ascii="Arial Narrow" w:hAnsi="Arial Narrow"/>
        </w:rPr>
        <w:fldChar w:fldCharType="end"/>
      </w:r>
      <w:bookmarkEnd w:id="31"/>
      <w:r w:rsidRPr="00710DB2">
        <w:rPr>
          <w:rFonts w:ascii="Arial Narrow" w:hAnsi="Arial Narrow"/>
        </w:rPr>
        <w:t>. Assessment tasks for each study site.</w:t>
      </w:r>
      <w:r w:rsidR="007840E0" w:rsidRPr="00710DB2">
        <w:rPr>
          <w:rFonts w:ascii="Arial Narrow" w:hAnsi="Arial Narrow"/>
        </w:rPr>
        <w:t xml:space="preserve"> The marker “</w:t>
      </w:r>
      <w:proofErr w:type="gramStart"/>
      <w:r w:rsidR="007840E0" w:rsidRPr="00710DB2">
        <w:rPr>
          <w:rFonts w:ascii="Arial Narrow" w:hAnsi="Arial Narrow"/>
        </w:rPr>
        <w:t xml:space="preserve">x”  </w:t>
      </w:r>
      <w:r w:rsidR="00DD46FB" w:rsidRPr="00710DB2">
        <w:rPr>
          <w:rFonts w:ascii="Arial Narrow" w:hAnsi="Arial Narrow"/>
        </w:rPr>
        <w:t>indicates</w:t>
      </w:r>
      <w:proofErr w:type="gramEnd"/>
      <w:r w:rsidR="00DD46FB" w:rsidRPr="00710DB2">
        <w:rPr>
          <w:rFonts w:ascii="Arial Narrow" w:hAnsi="Arial Narrow"/>
        </w:rPr>
        <w:t xml:space="preserve"> </w:t>
      </w:r>
      <w:r w:rsidR="00951A1B" w:rsidRPr="00710DB2">
        <w:rPr>
          <w:rFonts w:ascii="Arial Narrow" w:hAnsi="Arial Narrow"/>
        </w:rPr>
        <w:t>a relevant activity for the site.</w:t>
      </w:r>
      <w:bookmarkEnd w:id="32"/>
    </w:p>
    <w:p w14:paraId="620626A4" w14:textId="3BD310BB" w:rsidR="00D3478C" w:rsidRDefault="00D3478C" w:rsidP="003E1F8B">
      <w:pPr>
        <w:pStyle w:val="Caption"/>
        <w:rPr>
          <w:rFonts w:ascii="Univers 57 Condensed" w:hAnsi="Univers 57 Condensed"/>
          <w:sz w:val="22"/>
          <w:szCs w:val="22"/>
        </w:rPr>
      </w:pPr>
    </w:p>
    <w:tbl>
      <w:tblPr>
        <w:tblW w:w="5000" w:type="pct"/>
        <w:tblLook w:val="04A0" w:firstRow="1" w:lastRow="0" w:firstColumn="1" w:lastColumn="0" w:noHBand="0" w:noVBand="1"/>
      </w:tblPr>
      <w:tblGrid>
        <w:gridCol w:w="2099"/>
        <w:gridCol w:w="1049"/>
        <w:gridCol w:w="758"/>
        <w:gridCol w:w="845"/>
        <w:gridCol w:w="1143"/>
        <w:gridCol w:w="623"/>
        <w:gridCol w:w="740"/>
        <w:gridCol w:w="625"/>
        <w:gridCol w:w="747"/>
        <w:gridCol w:w="721"/>
      </w:tblGrid>
      <w:tr w:rsidR="00926C16" w:rsidRPr="009733F2" w14:paraId="27C18511" w14:textId="77777777" w:rsidTr="4CB23653">
        <w:trPr>
          <w:trHeight w:val="375"/>
        </w:trPr>
        <w:tc>
          <w:tcPr>
            <w:tcW w:w="814" w:type="pct"/>
            <w:tcBorders>
              <w:top w:val="single" w:sz="4" w:space="0" w:color="auto"/>
              <w:left w:val="single" w:sz="4" w:space="0" w:color="auto"/>
              <w:bottom w:val="nil"/>
              <w:right w:val="nil"/>
            </w:tcBorders>
            <w:vAlign w:val="bottom"/>
            <w:hideMark/>
          </w:tcPr>
          <w:p w14:paraId="7D806AAA" w14:textId="77777777" w:rsidR="009733F2" w:rsidRPr="009733F2" w:rsidRDefault="009733F2" w:rsidP="009733F2">
            <w:pPr>
              <w:spacing w:after="0" w:line="240" w:lineRule="auto"/>
              <w:rPr>
                <w:rFonts w:ascii="Univers 57 Condensed" w:eastAsia="Times New Roman" w:hAnsi="Univers 57 Condensed" w:cs="Times New Roman"/>
                <w:b/>
                <w:bCs/>
                <w:color w:val="000000"/>
                <w:sz w:val="28"/>
                <w:szCs w:val="28"/>
              </w:rPr>
            </w:pPr>
            <w:r w:rsidRPr="003E1F8B">
              <w:rPr>
                <w:rFonts w:ascii="Univers 57 Condensed" w:eastAsia="Times New Roman" w:hAnsi="Univers 57 Condensed" w:cs="Times New Roman"/>
                <w:b/>
                <w:color w:val="000000"/>
                <w:sz w:val="22"/>
                <w:szCs w:val="22"/>
              </w:rPr>
              <w:t>Locations</w:t>
            </w:r>
          </w:p>
        </w:tc>
        <w:tc>
          <w:tcPr>
            <w:tcW w:w="533" w:type="pct"/>
            <w:tcBorders>
              <w:top w:val="single" w:sz="4" w:space="0" w:color="auto"/>
              <w:left w:val="single" w:sz="4" w:space="0" w:color="auto"/>
              <w:bottom w:val="single" w:sz="4" w:space="0" w:color="auto"/>
              <w:right w:val="nil"/>
            </w:tcBorders>
            <w:vAlign w:val="bottom"/>
            <w:hideMark/>
          </w:tcPr>
          <w:p w14:paraId="428905A0" w14:textId="77777777" w:rsidR="009733F2" w:rsidRPr="003E1F8B" w:rsidRDefault="009733F2" w:rsidP="009733F2">
            <w:pPr>
              <w:spacing w:after="0" w:line="240" w:lineRule="auto"/>
              <w:rPr>
                <w:rFonts w:ascii="Univers 57 Condensed" w:eastAsia="Times New Roman" w:hAnsi="Univers 57 Condensed" w:cs="Times New Roman"/>
                <w:b/>
                <w:color w:val="000000"/>
                <w:sz w:val="22"/>
                <w:szCs w:val="22"/>
              </w:rPr>
            </w:pPr>
            <w:r w:rsidRPr="003E1F8B">
              <w:rPr>
                <w:rFonts w:ascii="Univers 57 Condensed" w:eastAsia="Times New Roman" w:hAnsi="Univers 57 Condensed" w:cs="Times New Roman"/>
                <w:b/>
                <w:color w:val="000000"/>
                <w:sz w:val="22"/>
                <w:szCs w:val="22"/>
              </w:rPr>
              <w:t>Island/City/Basin</w:t>
            </w:r>
          </w:p>
        </w:tc>
        <w:tc>
          <w:tcPr>
            <w:tcW w:w="378" w:type="pct"/>
            <w:tcBorders>
              <w:top w:val="single" w:sz="4" w:space="0" w:color="auto"/>
              <w:left w:val="nil"/>
              <w:bottom w:val="nil"/>
              <w:right w:val="single" w:sz="4" w:space="0" w:color="auto"/>
            </w:tcBorders>
            <w:vAlign w:val="bottom"/>
            <w:hideMark/>
          </w:tcPr>
          <w:p w14:paraId="1DA9AD5C" w14:textId="3CAFE3A6" w:rsidR="009733F2" w:rsidRPr="003E1F8B" w:rsidRDefault="009733F2" w:rsidP="009733F2">
            <w:pPr>
              <w:spacing w:after="0" w:line="240" w:lineRule="auto"/>
              <w:rPr>
                <w:rFonts w:ascii="Univers 57 Condensed" w:eastAsia="Times New Roman" w:hAnsi="Univers 57 Condensed" w:cs="Times New Roman"/>
                <w:b/>
                <w:color w:val="000000"/>
                <w:sz w:val="22"/>
                <w:szCs w:val="22"/>
              </w:rPr>
            </w:pPr>
            <w:r w:rsidRPr="003E1F8B">
              <w:rPr>
                <w:rFonts w:ascii="Univers 57 Condensed" w:eastAsia="Times New Roman" w:hAnsi="Univers 57 Condensed" w:cs="Times New Roman"/>
                <w:b/>
                <w:color w:val="000000"/>
                <w:sz w:val="22"/>
                <w:szCs w:val="22"/>
              </w:rPr>
              <w:t>Watershed</w:t>
            </w:r>
          </w:p>
        </w:tc>
        <w:tc>
          <w:tcPr>
            <w:tcW w:w="399" w:type="pct"/>
            <w:tcBorders>
              <w:top w:val="single" w:sz="4" w:space="0" w:color="auto"/>
              <w:left w:val="nil"/>
              <w:bottom w:val="nil"/>
              <w:right w:val="nil"/>
            </w:tcBorders>
            <w:vAlign w:val="bottom"/>
            <w:hideMark/>
          </w:tcPr>
          <w:p w14:paraId="116C5AEC" w14:textId="77777777" w:rsidR="009733F2" w:rsidRPr="003E1F8B" w:rsidRDefault="009733F2" w:rsidP="009733F2">
            <w:pPr>
              <w:spacing w:after="0" w:line="240" w:lineRule="auto"/>
              <w:rPr>
                <w:rFonts w:ascii="Univers 57 Condensed" w:eastAsia="Times New Roman" w:hAnsi="Univers 57 Condensed" w:cs="Times New Roman"/>
                <w:b/>
                <w:color w:val="000000"/>
                <w:sz w:val="22"/>
                <w:szCs w:val="22"/>
              </w:rPr>
            </w:pPr>
            <w:r w:rsidRPr="003E1F8B">
              <w:rPr>
                <w:rFonts w:ascii="Univers 57 Condensed" w:eastAsia="Times New Roman" w:hAnsi="Univers 57 Condensed" w:cs="Times New Roman"/>
                <w:b/>
                <w:color w:val="000000"/>
                <w:sz w:val="22"/>
                <w:szCs w:val="22"/>
              </w:rPr>
              <w:t>Precipitation</w:t>
            </w:r>
          </w:p>
        </w:tc>
        <w:tc>
          <w:tcPr>
            <w:tcW w:w="529" w:type="pct"/>
            <w:tcBorders>
              <w:top w:val="single" w:sz="4" w:space="0" w:color="auto"/>
              <w:left w:val="single" w:sz="4" w:space="0" w:color="auto"/>
              <w:bottom w:val="nil"/>
              <w:right w:val="single" w:sz="4" w:space="0" w:color="auto"/>
            </w:tcBorders>
            <w:vAlign w:val="bottom"/>
            <w:hideMark/>
          </w:tcPr>
          <w:p w14:paraId="04E8C191" w14:textId="77777777" w:rsidR="009733F2" w:rsidRPr="003E1F8B" w:rsidRDefault="009733F2" w:rsidP="009733F2">
            <w:pPr>
              <w:spacing w:after="0" w:line="240" w:lineRule="auto"/>
              <w:rPr>
                <w:rFonts w:ascii="Univers 57 Condensed" w:eastAsia="Times New Roman" w:hAnsi="Univers 57 Condensed" w:cs="Times New Roman"/>
                <w:b/>
                <w:color w:val="000000"/>
                <w:sz w:val="22"/>
                <w:szCs w:val="22"/>
              </w:rPr>
            </w:pPr>
            <w:r w:rsidRPr="003E1F8B">
              <w:rPr>
                <w:rFonts w:ascii="Univers 57 Condensed" w:eastAsia="Times New Roman" w:hAnsi="Univers 57 Condensed" w:cs="Times New Roman"/>
                <w:b/>
                <w:color w:val="000000"/>
                <w:sz w:val="22"/>
                <w:szCs w:val="22"/>
              </w:rPr>
              <w:t>Evapotranspiration</w:t>
            </w:r>
          </w:p>
        </w:tc>
        <w:tc>
          <w:tcPr>
            <w:tcW w:w="441" w:type="pct"/>
            <w:tcBorders>
              <w:top w:val="single" w:sz="4" w:space="0" w:color="auto"/>
              <w:left w:val="nil"/>
              <w:bottom w:val="nil"/>
              <w:right w:val="nil"/>
            </w:tcBorders>
            <w:vAlign w:val="bottom"/>
            <w:hideMark/>
          </w:tcPr>
          <w:p w14:paraId="70568322" w14:textId="77777777" w:rsidR="009733F2" w:rsidRPr="003E1F8B" w:rsidRDefault="009733F2" w:rsidP="009733F2">
            <w:pPr>
              <w:spacing w:after="0" w:line="240" w:lineRule="auto"/>
              <w:rPr>
                <w:rFonts w:ascii="Univers 57 Condensed" w:eastAsia="Times New Roman" w:hAnsi="Univers 57 Condensed" w:cs="Times New Roman"/>
                <w:b/>
                <w:color w:val="000000"/>
                <w:sz w:val="22"/>
                <w:szCs w:val="22"/>
              </w:rPr>
            </w:pPr>
            <w:r w:rsidRPr="003E1F8B">
              <w:rPr>
                <w:rFonts w:ascii="Univers 57 Condensed" w:eastAsia="Times New Roman" w:hAnsi="Univers 57 Condensed" w:cs="Times New Roman"/>
                <w:b/>
                <w:color w:val="000000"/>
                <w:sz w:val="22"/>
                <w:szCs w:val="22"/>
              </w:rPr>
              <w:t>Water Balance</w:t>
            </w:r>
          </w:p>
        </w:tc>
        <w:tc>
          <w:tcPr>
            <w:tcW w:w="542" w:type="pct"/>
            <w:tcBorders>
              <w:top w:val="single" w:sz="4" w:space="0" w:color="auto"/>
              <w:left w:val="single" w:sz="4" w:space="0" w:color="auto"/>
              <w:bottom w:val="nil"/>
              <w:right w:val="single" w:sz="4" w:space="0" w:color="auto"/>
            </w:tcBorders>
            <w:vAlign w:val="bottom"/>
            <w:hideMark/>
          </w:tcPr>
          <w:p w14:paraId="41F196AE" w14:textId="77777777" w:rsidR="009733F2" w:rsidRPr="003E1F8B" w:rsidRDefault="009733F2" w:rsidP="009733F2">
            <w:pPr>
              <w:spacing w:after="0" w:line="240" w:lineRule="auto"/>
              <w:rPr>
                <w:rFonts w:ascii="Univers 57 Condensed" w:eastAsia="Times New Roman" w:hAnsi="Univers 57 Condensed" w:cs="Times New Roman"/>
                <w:b/>
                <w:color w:val="000000"/>
                <w:sz w:val="22"/>
                <w:szCs w:val="22"/>
              </w:rPr>
            </w:pPr>
            <w:r w:rsidRPr="003E1F8B">
              <w:rPr>
                <w:rFonts w:ascii="Univers 57 Condensed" w:eastAsia="Times New Roman" w:hAnsi="Univers 57 Condensed" w:cs="Times New Roman"/>
                <w:b/>
                <w:color w:val="000000"/>
                <w:sz w:val="22"/>
                <w:szCs w:val="22"/>
              </w:rPr>
              <w:t>Drought monitoring</w:t>
            </w:r>
          </w:p>
        </w:tc>
        <w:tc>
          <w:tcPr>
            <w:tcW w:w="621" w:type="pct"/>
            <w:tcBorders>
              <w:top w:val="single" w:sz="4" w:space="0" w:color="auto"/>
              <w:left w:val="nil"/>
              <w:bottom w:val="nil"/>
              <w:right w:val="single" w:sz="4" w:space="0" w:color="auto"/>
            </w:tcBorders>
            <w:vAlign w:val="bottom"/>
            <w:hideMark/>
          </w:tcPr>
          <w:p w14:paraId="6C2E5744" w14:textId="77777777" w:rsidR="009733F2" w:rsidRPr="003E1F8B" w:rsidRDefault="009733F2" w:rsidP="009733F2">
            <w:pPr>
              <w:spacing w:after="0" w:line="240" w:lineRule="auto"/>
              <w:rPr>
                <w:rFonts w:ascii="Univers 57 Condensed" w:eastAsia="Times New Roman" w:hAnsi="Univers 57 Condensed" w:cs="Times New Roman"/>
                <w:b/>
                <w:color w:val="000000"/>
                <w:sz w:val="22"/>
                <w:szCs w:val="22"/>
              </w:rPr>
            </w:pPr>
            <w:r w:rsidRPr="003E1F8B">
              <w:rPr>
                <w:rFonts w:ascii="Univers 57 Condensed" w:eastAsia="Times New Roman" w:hAnsi="Univers 57 Condensed" w:cs="Times New Roman"/>
                <w:b/>
                <w:color w:val="000000"/>
                <w:sz w:val="22"/>
                <w:szCs w:val="22"/>
              </w:rPr>
              <w:t>7-day forecast</w:t>
            </w:r>
          </w:p>
        </w:tc>
        <w:tc>
          <w:tcPr>
            <w:tcW w:w="357" w:type="pct"/>
            <w:tcBorders>
              <w:top w:val="single" w:sz="4" w:space="0" w:color="auto"/>
              <w:left w:val="nil"/>
              <w:bottom w:val="nil"/>
              <w:right w:val="single" w:sz="4" w:space="0" w:color="auto"/>
            </w:tcBorders>
            <w:vAlign w:val="bottom"/>
            <w:hideMark/>
          </w:tcPr>
          <w:p w14:paraId="48D6C589" w14:textId="77777777" w:rsidR="009733F2" w:rsidRPr="003E1F8B" w:rsidRDefault="009733F2" w:rsidP="009733F2">
            <w:pPr>
              <w:spacing w:after="0" w:line="240" w:lineRule="auto"/>
              <w:rPr>
                <w:rFonts w:ascii="Univers 57 Condensed" w:eastAsia="Times New Roman" w:hAnsi="Univers 57 Condensed" w:cs="Times New Roman"/>
                <w:b/>
                <w:color w:val="000000"/>
                <w:sz w:val="22"/>
                <w:szCs w:val="22"/>
              </w:rPr>
            </w:pPr>
            <w:r w:rsidRPr="003E1F8B">
              <w:rPr>
                <w:rFonts w:ascii="Univers 57 Condensed" w:eastAsia="Times New Roman" w:hAnsi="Univers 57 Condensed" w:cs="Times New Roman"/>
                <w:b/>
                <w:color w:val="000000"/>
                <w:sz w:val="22"/>
                <w:szCs w:val="22"/>
              </w:rPr>
              <w:t>Settlement</w:t>
            </w:r>
          </w:p>
        </w:tc>
        <w:tc>
          <w:tcPr>
            <w:tcW w:w="386" w:type="pct"/>
            <w:tcBorders>
              <w:top w:val="single" w:sz="4" w:space="0" w:color="auto"/>
              <w:left w:val="nil"/>
              <w:bottom w:val="nil"/>
              <w:right w:val="single" w:sz="4" w:space="0" w:color="auto"/>
            </w:tcBorders>
            <w:vAlign w:val="bottom"/>
            <w:hideMark/>
          </w:tcPr>
          <w:p w14:paraId="72650018" w14:textId="77777777" w:rsidR="009733F2" w:rsidRPr="003E1F8B" w:rsidRDefault="009733F2" w:rsidP="009733F2">
            <w:pPr>
              <w:spacing w:after="0" w:line="240" w:lineRule="auto"/>
              <w:rPr>
                <w:rFonts w:ascii="Univers 57 Condensed" w:eastAsia="Times New Roman" w:hAnsi="Univers 57 Condensed" w:cs="Times New Roman"/>
                <w:b/>
                <w:color w:val="000000"/>
                <w:sz w:val="22"/>
                <w:szCs w:val="22"/>
              </w:rPr>
            </w:pPr>
            <w:r w:rsidRPr="003E1F8B">
              <w:rPr>
                <w:rFonts w:ascii="Univers 57 Condensed" w:eastAsia="Times New Roman" w:hAnsi="Univers 57 Condensed" w:cs="Times New Roman"/>
                <w:b/>
                <w:color w:val="000000"/>
                <w:sz w:val="22"/>
                <w:szCs w:val="22"/>
              </w:rPr>
              <w:t>Seismicity</w:t>
            </w:r>
          </w:p>
        </w:tc>
      </w:tr>
      <w:tr w:rsidR="00926C16" w:rsidRPr="009733F2" w14:paraId="0C63F68D" w14:textId="77777777" w:rsidTr="4CB23653">
        <w:trPr>
          <w:trHeight w:val="300"/>
        </w:trPr>
        <w:tc>
          <w:tcPr>
            <w:tcW w:w="814" w:type="pct"/>
            <w:tcBorders>
              <w:top w:val="single" w:sz="4" w:space="0" w:color="auto"/>
              <w:left w:val="single" w:sz="4" w:space="0" w:color="auto"/>
              <w:bottom w:val="single" w:sz="4" w:space="0" w:color="auto"/>
              <w:right w:val="nil"/>
            </w:tcBorders>
            <w:shd w:val="clear" w:color="auto" w:fill="D9D9D9" w:themeFill="background1" w:themeFillShade="D9"/>
            <w:noWrap/>
            <w:vAlign w:val="bottom"/>
            <w:hideMark/>
          </w:tcPr>
          <w:p w14:paraId="461AA9D4" w14:textId="77777777" w:rsidR="009733F2" w:rsidRPr="009733F2" w:rsidRDefault="009733F2" w:rsidP="009733F2">
            <w:pPr>
              <w:spacing w:after="0" w:line="240" w:lineRule="auto"/>
              <w:rPr>
                <w:rFonts w:ascii="Univers 57 Condensed" w:eastAsia="Times New Roman" w:hAnsi="Univers 57 Condensed" w:cs="Times New Roman"/>
                <w:b/>
                <w:bCs/>
                <w:color w:val="000000"/>
                <w:sz w:val="22"/>
                <w:szCs w:val="22"/>
              </w:rPr>
            </w:pPr>
            <w:r w:rsidRPr="009733F2">
              <w:rPr>
                <w:rFonts w:ascii="Univers 57 Condensed" w:eastAsia="Times New Roman" w:hAnsi="Univers 57 Condensed" w:cs="Times New Roman"/>
                <w:b/>
                <w:bCs/>
                <w:color w:val="000000"/>
                <w:sz w:val="22"/>
                <w:szCs w:val="22"/>
              </w:rPr>
              <w:t>Federated States of Micronesia (FSM)</w:t>
            </w:r>
          </w:p>
        </w:tc>
        <w:tc>
          <w:tcPr>
            <w:tcW w:w="533" w:type="pct"/>
            <w:tcBorders>
              <w:top w:val="nil"/>
              <w:left w:val="nil"/>
              <w:bottom w:val="single" w:sz="4" w:space="0" w:color="auto"/>
              <w:right w:val="nil"/>
            </w:tcBorders>
            <w:shd w:val="clear" w:color="auto" w:fill="D9D9D9" w:themeFill="background1" w:themeFillShade="D9"/>
            <w:noWrap/>
            <w:vAlign w:val="bottom"/>
            <w:hideMark/>
          </w:tcPr>
          <w:p w14:paraId="07F1FCE4" w14:textId="77777777" w:rsidR="009733F2" w:rsidRPr="009733F2" w:rsidRDefault="009733F2" w:rsidP="009733F2">
            <w:pPr>
              <w:spacing w:after="0" w:line="240" w:lineRule="auto"/>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378" w:type="pct"/>
            <w:tcBorders>
              <w:top w:val="single" w:sz="4" w:space="0" w:color="auto"/>
              <w:left w:val="nil"/>
              <w:bottom w:val="single" w:sz="4" w:space="0" w:color="auto"/>
              <w:right w:val="nil"/>
            </w:tcBorders>
            <w:shd w:val="clear" w:color="auto" w:fill="D9D9D9" w:themeFill="background1" w:themeFillShade="D9"/>
            <w:noWrap/>
            <w:vAlign w:val="bottom"/>
            <w:hideMark/>
          </w:tcPr>
          <w:p w14:paraId="697F6641" w14:textId="77777777" w:rsidR="009733F2" w:rsidRPr="009733F2" w:rsidRDefault="009733F2" w:rsidP="009733F2">
            <w:pPr>
              <w:spacing w:after="0" w:line="240" w:lineRule="auto"/>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399" w:type="pct"/>
            <w:tcBorders>
              <w:top w:val="single" w:sz="4" w:space="0" w:color="auto"/>
              <w:left w:val="nil"/>
              <w:bottom w:val="single" w:sz="4" w:space="0" w:color="auto"/>
              <w:right w:val="nil"/>
            </w:tcBorders>
            <w:shd w:val="clear" w:color="auto" w:fill="D9D9D9" w:themeFill="background1" w:themeFillShade="D9"/>
            <w:noWrap/>
            <w:vAlign w:val="bottom"/>
            <w:hideMark/>
          </w:tcPr>
          <w:p w14:paraId="5782CAFE" w14:textId="77777777" w:rsidR="009733F2" w:rsidRPr="009733F2" w:rsidRDefault="009733F2" w:rsidP="009733F2">
            <w:pPr>
              <w:spacing w:after="0" w:line="240" w:lineRule="auto"/>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529" w:type="pct"/>
            <w:tcBorders>
              <w:top w:val="single" w:sz="4" w:space="0" w:color="auto"/>
              <w:left w:val="nil"/>
              <w:bottom w:val="single" w:sz="4" w:space="0" w:color="auto"/>
              <w:right w:val="nil"/>
            </w:tcBorders>
            <w:shd w:val="clear" w:color="auto" w:fill="D9D9D9" w:themeFill="background1" w:themeFillShade="D9"/>
            <w:noWrap/>
            <w:vAlign w:val="bottom"/>
            <w:hideMark/>
          </w:tcPr>
          <w:p w14:paraId="4FB24405" w14:textId="77777777" w:rsidR="009733F2" w:rsidRPr="009733F2" w:rsidRDefault="009733F2" w:rsidP="009733F2">
            <w:pPr>
              <w:spacing w:after="0" w:line="240" w:lineRule="auto"/>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441" w:type="pct"/>
            <w:tcBorders>
              <w:top w:val="single" w:sz="4" w:space="0" w:color="auto"/>
              <w:left w:val="nil"/>
              <w:bottom w:val="single" w:sz="4" w:space="0" w:color="auto"/>
              <w:right w:val="nil"/>
            </w:tcBorders>
            <w:shd w:val="clear" w:color="auto" w:fill="D9D9D9" w:themeFill="background1" w:themeFillShade="D9"/>
            <w:noWrap/>
            <w:vAlign w:val="bottom"/>
            <w:hideMark/>
          </w:tcPr>
          <w:p w14:paraId="04E8542E" w14:textId="77777777" w:rsidR="009733F2" w:rsidRPr="009733F2" w:rsidRDefault="009733F2" w:rsidP="009733F2">
            <w:pPr>
              <w:spacing w:after="0" w:line="240" w:lineRule="auto"/>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542" w:type="pct"/>
            <w:tcBorders>
              <w:top w:val="single" w:sz="4" w:space="0" w:color="auto"/>
              <w:left w:val="nil"/>
              <w:bottom w:val="single" w:sz="4" w:space="0" w:color="auto"/>
              <w:right w:val="nil"/>
            </w:tcBorders>
            <w:shd w:val="clear" w:color="auto" w:fill="D9D9D9" w:themeFill="background1" w:themeFillShade="D9"/>
            <w:noWrap/>
            <w:vAlign w:val="bottom"/>
            <w:hideMark/>
          </w:tcPr>
          <w:p w14:paraId="5FF20C73" w14:textId="77777777" w:rsidR="009733F2" w:rsidRPr="009733F2" w:rsidRDefault="009733F2" w:rsidP="009733F2">
            <w:pPr>
              <w:spacing w:after="0" w:line="240" w:lineRule="auto"/>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621" w:type="pct"/>
            <w:tcBorders>
              <w:top w:val="single" w:sz="4" w:space="0" w:color="auto"/>
              <w:left w:val="nil"/>
              <w:bottom w:val="single" w:sz="4" w:space="0" w:color="auto"/>
              <w:right w:val="nil"/>
            </w:tcBorders>
            <w:shd w:val="clear" w:color="auto" w:fill="D9D9D9" w:themeFill="background1" w:themeFillShade="D9"/>
            <w:noWrap/>
            <w:vAlign w:val="bottom"/>
            <w:hideMark/>
          </w:tcPr>
          <w:p w14:paraId="63D48A44" w14:textId="77777777" w:rsidR="009733F2" w:rsidRPr="009733F2" w:rsidRDefault="009733F2" w:rsidP="009733F2">
            <w:pPr>
              <w:spacing w:after="0" w:line="240" w:lineRule="auto"/>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357" w:type="pct"/>
            <w:tcBorders>
              <w:top w:val="single" w:sz="4" w:space="0" w:color="auto"/>
              <w:left w:val="nil"/>
              <w:bottom w:val="single" w:sz="4" w:space="0" w:color="auto"/>
              <w:right w:val="nil"/>
            </w:tcBorders>
            <w:shd w:val="clear" w:color="auto" w:fill="D9D9D9" w:themeFill="background1" w:themeFillShade="D9"/>
            <w:noWrap/>
            <w:vAlign w:val="bottom"/>
            <w:hideMark/>
          </w:tcPr>
          <w:p w14:paraId="6BC94185" w14:textId="77777777" w:rsidR="009733F2" w:rsidRPr="009733F2" w:rsidRDefault="009733F2" w:rsidP="009733F2">
            <w:pPr>
              <w:spacing w:after="0" w:line="240" w:lineRule="auto"/>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386" w:type="pct"/>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22E37DF5" w14:textId="77777777" w:rsidR="009733F2" w:rsidRPr="009733F2" w:rsidRDefault="009733F2" w:rsidP="009733F2">
            <w:pPr>
              <w:spacing w:after="0" w:line="240" w:lineRule="auto"/>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r>
      <w:tr w:rsidR="00926C16" w:rsidRPr="009733F2" w14:paraId="60536368" w14:textId="77777777" w:rsidTr="003E1F8B">
        <w:trPr>
          <w:trHeight w:val="300"/>
        </w:trPr>
        <w:tc>
          <w:tcPr>
            <w:tcW w:w="814" w:type="pct"/>
            <w:tcBorders>
              <w:top w:val="nil"/>
              <w:left w:val="single" w:sz="4" w:space="0" w:color="auto"/>
              <w:bottom w:val="nil"/>
              <w:right w:val="nil"/>
            </w:tcBorders>
            <w:noWrap/>
            <w:vAlign w:val="bottom"/>
            <w:hideMark/>
          </w:tcPr>
          <w:p w14:paraId="71F62AD4" w14:textId="77777777" w:rsidR="009733F2" w:rsidRPr="009733F2" w:rsidRDefault="009733F2" w:rsidP="009733F2">
            <w:pPr>
              <w:spacing w:after="0" w:line="240" w:lineRule="auto"/>
              <w:rPr>
                <w:rFonts w:ascii="Univers 57 Condensed" w:eastAsia="Times New Roman" w:hAnsi="Univers 57 Condensed" w:cs="Times New Roman"/>
                <w:b/>
                <w:bCs/>
                <w:color w:val="000000"/>
                <w:sz w:val="22"/>
                <w:szCs w:val="22"/>
              </w:rPr>
            </w:pPr>
            <w:r w:rsidRPr="009733F2">
              <w:rPr>
                <w:rFonts w:ascii="Calibri" w:eastAsia="Times New Roman" w:hAnsi="Calibri" w:cs="Calibri"/>
                <w:b/>
                <w:bCs/>
                <w:color w:val="000000"/>
                <w:sz w:val="22"/>
                <w:szCs w:val="22"/>
              </w:rPr>
              <w:t> </w:t>
            </w:r>
          </w:p>
        </w:tc>
        <w:tc>
          <w:tcPr>
            <w:tcW w:w="533" w:type="pct"/>
            <w:tcBorders>
              <w:top w:val="nil"/>
              <w:left w:val="single" w:sz="4" w:space="0" w:color="auto"/>
              <w:bottom w:val="nil"/>
              <w:right w:val="single" w:sz="4" w:space="0" w:color="auto"/>
            </w:tcBorders>
            <w:noWrap/>
            <w:vAlign w:val="bottom"/>
            <w:hideMark/>
          </w:tcPr>
          <w:p w14:paraId="0BD5FC48" w14:textId="77777777" w:rsidR="009733F2" w:rsidRPr="009733F2" w:rsidRDefault="009733F2" w:rsidP="009733F2">
            <w:pPr>
              <w:spacing w:after="0" w:line="240" w:lineRule="auto"/>
              <w:rPr>
                <w:rFonts w:ascii="Univers 57 Condensed" w:eastAsia="Times New Roman" w:hAnsi="Univers 57 Condensed" w:cs="Times New Roman"/>
                <w:b/>
                <w:bCs/>
                <w:color w:val="000000"/>
                <w:sz w:val="22"/>
                <w:szCs w:val="22"/>
              </w:rPr>
            </w:pPr>
            <w:r w:rsidRPr="009733F2">
              <w:rPr>
                <w:rFonts w:ascii="Univers 57 Condensed" w:eastAsia="Times New Roman" w:hAnsi="Univers 57 Condensed" w:cs="Times New Roman"/>
                <w:b/>
                <w:bCs/>
                <w:color w:val="000000"/>
                <w:sz w:val="22"/>
                <w:szCs w:val="22"/>
              </w:rPr>
              <w:t>Yap</w:t>
            </w:r>
          </w:p>
        </w:tc>
        <w:tc>
          <w:tcPr>
            <w:tcW w:w="378" w:type="pct"/>
            <w:tcBorders>
              <w:top w:val="nil"/>
              <w:left w:val="nil"/>
              <w:bottom w:val="nil"/>
              <w:right w:val="single" w:sz="4" w:space="0" w:color="auto"/>
            </w:tcBorders>
            <w:noWrap/>
            <w:vAlign w:val="bottom"/>
          </w:tcPr>
          <w:p w14:paraId="2B3C13F9" w14:textId="378967F4"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399" w:type="pct"/>
            <w:tcBorders>
              <w:top w:val="nil"/>
              <w:left w:val="nil"/>
              <w:bottom w:val="nil"/>
              <w:right w:val="nil"/>
            </w:tcBorders>
            <w:noWrap/>
            <w:vAlign w:val="bottom"/>
            <w:hideMark/>
          </w:tcPr>
          <w:p w14:paraId="3AD70BAD"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529" w:type="pct"/>
            <w:tcBorders>
              <w:top w:val="nil"/>
              <w:left w:val="single" w:sz="4" w:space="0" w:color="auto"/>
              <w:bottom w:val="nil"/>
              <w:right w:val="single" w:sz="4" w:space="0" w:color="auto"/>
            </w:tcBorders>
            <w:noWrap/>
            <w:vAlign w:val="bottom"/>
            <w:hideMark/>
          </w:tcPr>
          <w:p w14:paraId="66E7CBFB"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441" w:type="pct"/>
            <w:tcBorders>
              <w:top w:val="nil"/>
              <w:left w:val="nil"/>
              <w:bottom w:val="nil"/>
              <w:right w:val="nil"/>
            </w:tcBorders>
            <w:noWrap/>
            <w:vAlign w:val="bottom"/>
            <w:hideMark/>
          </w:tcPr>
          <w:p w14:paraId="658937BE"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542" w:type="pct"/>
            <w:tcBorders>
              <w:top w:val="nil"/>
              <w:left w:val="single" w:sz="4" w:space="0" w:color="auto"/>
              <w:bottom w:val="nil"/>
              <w:right w:val="single" w:sz="4" w:space="0" w:color="auto"/>
            </w:tcBorders>
            <w:noWrap/>
            <w:vAlign w:val="bottom"/>
            <w:hideMark/>
          </w:tcPr>
          <w:p w14:paraId="5C2C72E0"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621" w:type="pct"/>
            <w:tcBorders>
              <w:top w:val="nil"/>
              <w:left w:val="nil"/>
              <w:bottom w:val="nil"/>
              <w:right w:val="single" w:sz="4" w:space="0" w:color="auto"/>
            </w:tcBorders>
            <w:noWrap/>
            <w:vAlign w:val="bottom"/>
            <w:hideMark/>
          </w:tcPr>
          <w:p w14:paraId="303FE912"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357" w:type="pct"/>
            <w:tcBorders>
              <w:top w:val="nil"/>
              <w:left w:val="nil"/>
              <w:bottom w:val="nil"/>
              <w:right w:val="single" w:sz="4" w:space="0" w:color="auto"/>
            </w:tcBorders>
            <w:noWrap/>
            <w:vAlign w:val="bottom"/>
            <w:hideMark/>
          </w:tcPr>
          <w:p w14:paraId="1EDD2E62"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386" w:type="pct"/>
            <w:tcBorders>
              <w:top w:val="nil"/>
              <w:left w:val="nil"/>
              <w:bottom w:val="nil"/>
              <w:right w:val="single" w:sz="4" w:space="0" w:color="auto"/>
            </w:tcBorders>
            <w:noWrap/>
            <w:vAlign w:val="bottom"/>
            <w:hideMark/>
          </w:tcPr>
          <w:p w14:paraId="26492D16"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r>
      <w:tr w:rsidR="00926C16" w:rsidRPr="009733F2" w14:paraId="47B9CAD1" w14:textId="77777777" w:rsidTr="003E1F8B">
        <w:trPr>
          <w:trHeight w:val="300"/>
        </w:trPr>
        <w:tc>
          <w:tcPr>
            <w:tcW w:w="814" w:type="pct"/>
            <w:tcBorders>
              <w:top w:val="nil"/>
              <w:left w:val="single" w:sz="4" w:space="0" w:color="auto"/>
              <w:bottom w:val="nil"/>
              <w:right w:val="nil"/>
            </w:tcBorders>
            <w:noWrap/>
            <w:vAlign w:val="bottom"/>
            <w:hideMark/>
          </w:tcPr>
          <w:p w14:paraId="7A197261" w14:textId="77777777" w:rsidR="009733F2" w:rsidRPr="009733F2" w:rsidRDefault="009733F2" w:rsidP="009733F2">
            <w:pPr>
              <w:spacing w:after="0" w:line="240" w:lineRule="auto"/>
              <w:rPr>
                <w:rFonts w:ascii="Univers 57 Condensed" w:eastAsia="Times New Roman" w:hAnsi="Univers 57 Condensed" w:cs="Times New Roman"/>
                <w:b/>
                <w:bCs/>
                <w:color w:val="000000"/>
                <w:sz w:val="22"/>
                <w:szCs w:val="22"/>
              </w:rPr>
            </w:pPr>
            <w:r w:rsidRPr="009733F2">
              <w:rPr>
                <w:rFonts w:ascii="Calibri" w:eastAsia="Times New Roman" w:hAnsi="Calibri" w:cs="Calibri"/>
                <w:b/>
                <w:bCs/>
                <w:color w:val="000000"/>
                <w:sz w:val="22"/>
                <w:szCs w:val="22"/>
              </w:rPr>
              <w:t> </w:t>
            </w:r>
          </w:p>
        </w:tc>
        <w:tc>
          <w:tcPr>
            <w:tcW w:w="533" w:type="pct"/>
            <w:tcBorders>
              <w:top w:val="nil"/>
              <w:left w:val="single" w:sz="4" w:space="0" w:color="auto"/>
              <w:bottom w:val="nil"/>
              <w:right w:val="single" w:sz="4" w:space="0" w:color="auto"/>
            </w:tcBorders>
            <w:noWrap/>
            <w:vAlign w:val="bottom"/>
            <w:hideMark/>
          </w:tcPr>
          <w:p w14:paraId="3D45FF21" w14:textId="77777777" w:rsidR="009733F2" w:rsidRPr="009733F2" w:rsidRDefault="009733F2" w:rsidP="009733F2">
            <w:pPr>
              <w:spacing w:after="0" w:line="240" w:lineRule="auto"/>
              <w:rPr>
                <w:rFonts w:ascii="Univers 57 Condensed" w:eastAsia="Times New Roman" w:hAnsi="Univers 57 Condensed" w:cs="Times New Roman"/>
                <w:b/>
                <w:bCs/>
                <w:color w:val="000000"/>
                <w:sz w:val="22"/>
                <w:szCs w:val="22"/>
              </w:rPr>
            </w:pPr>
            <w:r w:rsidRPr="009733F2">
              <w:rPr>
                <w:rFonts w:ascii="Univers 57 Condensed" w:eastAsia="Times New Roman" w:hAnsi="Univers 57 Condensed" w:cs="Times New Roman"/>
                <w:b/>
                <w:bCs/>
                <w:color w:val="000000"/>
                <w:sz w:val="22"/>
                <w:szCs w:val="22"/>
              </w:rPr>
              <w:t>Weno</w:t>
            </w:r>
          </w:p>
        </w:tc>
        <w:tc>
          <w:tcPr>
            <w:tcW w:w="378" w:type="pct"/>
            <w:tcBorders>
              <w:top w:val="nil"/>
              <w:left w:val="nil"/>
              <w:bottom w:val="nil"/>
              <w:right w:val="single" w:sz="4" w:space="0" w:color="auto"/>
            </w:tcBorders>
            <w:noWrap/>
            <w:vAlign w:val="bottom"/>
          </w:tcPr>
          <w:p w14:paraId="4159739F" w14:textId="2D65D34F"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399" w:type="pct"/>
            <w:tcBorders>
              <w:top w:val="nil"/>
              <w:left w:val="nil"/>
              <w:bottom w:val="nil"/>
              <w:right w:val="nil"/>
            </w:tcBorders>
            <w:noWrap/>
            <w:vAlign w:val="bottom"/>
            <w:hideMark/>
          </w:tcPr>
          <w:p w14:paraId="1FB5846A"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529" w:type="pct"/>
            <w:tcBorders>
              <w:top w:val="nil"/>
              <w:left w:val="single" w:sz="4" w:space="0" w:color="auto"/>
              <w:bottom w:val="nil"/>
              <w:right w:val="single" w:sz="4" w:space="0" w:color="auto"/>
            </w:tcBorders>
            <w:noWrap/>
            <w:vAlign w:val="bottom"/>
            <w:hideMark/>
          </w:tcPr>
          <w:p w14:paraId="11A58E55"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441" w:type="pct"/>
            <w:tcBorders>
              <w:top w:val="nil"/>
              <w:left w:val="nil"/>
              <w:bottom w:val="nil"/>
              <w:right w:val="nil"/>
            </w:tcBorders>
            <w:noWrap/>
            <w:vAlign w:val="bottom"/>
            <w:hideMark/>
          </w:tcPr>
          <w:p w14:paraId="175212B8"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542" w:type="pct"/>
            <w:tcBorders>
              <w:top w:val="nil"/>
              <w:left w:val="single" w:sz="4" w:space="0" w:color="auto"/>
              <w:bottom w:val="nil"/>
              <w:right w:val="single" w:sz="4" w:space="0" w:color="auto"/>
            </w:tcBorders>
            <w:noWrap/>
            <w:vAlign w:val="bottom"/>
            <w:hideMark/>
          </w:tcPr>
          <w:p w14:paraId="42A4ED64"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621" w:type="pct"/>
            <w:tcBorders>
              <w:top w:val="nil"/>
              <w:left w:val="nil"/>
              <w:bottom w:val="nil"/>
              <w:right w:val="single" w:sz="4" w:space="0" w:color="auto"/>
            </w:tcBorders>
            <w:noWrap/>
            <w:vAlign w:val="bottom"/>
            <w:hideMark/>
          </w:tcPr>
          <w:p w14:paraId="4C33F948"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357" w:type="pct"/>
            <w:tcBorders>
              <w:top w:val="nil"/>
              <w:left w:val="nil"/>
              <w:bottom w:val="nil"/>
              <w:right w:val="single" w:sz="4" w:space="0" w:color="auto"/>
            </w:tcBorders>
            <w:noWrap/>
            <w:vAlign w:val="bottom"/>
            <w:hideMark/>
          </w:tcPr>
          <w:p w14:paraId="00EF24D7"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386" w:type="pct"/>
            <w:tcBorders>
              <w:top w:val="nil"/>
              <w:left w:val="nil"/>
              <w:bottom w:val="nil"/>
              <w:right w:val="single" w:sz="4" w:space="0" w:color="auto"/>
            </w:tcBorders>
            <w:noWrap/>
            <w:vAlign w:val="bottom"/>
            <w:hideMark/>
          </w:tcPr>
          <w:p w14:paraId="7164EBDF"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r>
      <w:tr w:rsidR="00926C16" w:rsidRPr="009733F2" w14:paraId="17F5D352" w14:textId="77777777" w:rsidTr="003E1F8B">
        <w:trPr>
          <w:trHeight w:val="300"/>
        </w:trPr>
        <w:tc>
          <w:tcPr>
            <w:tcW w:w="814" w:type="pct"/>
            <w:tcBorders>
              <w:top w:val="nil"/>
              <w:left w:val="single" w:sz="4" w:space="0" w:color="auto"/>
              <w:bottom w:val="nil"/>
              <w:right w:val="nil"/>
            </w:tcBorders>
            <w:noWrap/>
            <w:vAlign w:val="bottom"/>
            <w:hideMark/>
          </w:tcPr>
          <w:p w14:paraId="3DA67C3B" w14:textId="77777777" w:rsidR="009733F2" w:rsidRPr="009733F2" w:rsidRDefault="009733F2" w:rsidP="009733F2">
            <w:pPr>
              <w:spacing w:after="0" w:line="240" w:lineRule="auto"/>
              <w:rPr>
                <w:rFonts w:ascii="Univers 57 Condensed" w:eastAsia="Times New Roman" w:hAnsi="Univers 57 Condensed" w:cs="Times New Roman"/>
                <w:b/>
                <w:bCs/>
                <w:color w:val="000000"/>
                <w:sz w:val="22"/>
                <w:szCs w:val="22"/>
              </w:rPr>
            </w:pPr>
            <w:r w:rsidRPr="009733F2">
              <w:rPr>
                <w:rFonts w:ascii="Calibri" w:eastAsia="Times New Roman" w:hAnsi="Calibri" w:cs="Calibri"/>
                <w:b/>
                <w:bCs/>
                <w:color w:val="000000"/>
                <w:sz w:val="22"/>
                <w:szCs w:val="22"/>
              </w:rPr>
              <w:t> </w:t>
            </w:r>
          </w:p>
        </w:tc>
        <w:tc>
          <w:tcPr>
            <w:tcW w:w="533" w:type="pct"/>
            <w:tcBorders>
              <w:top w:val="nil"/>
              <w:left w:val="single" w:sz="4" w:space="0" w:color="auto"/>
              <w:bottom w:val="nil"/>
              <w:right w:val="single" w:sz="4" w:space="0" w:color="auto"/>
            </w:tcBorders>
            <w:noWrap/>
            <w:vAlign w:val="bottom"/>
            <w:hideMark/>
          </w:tcPr>
          <w:p w14:paraId="36F8C823" w14:textId="77777777" w:rsidR="009733F2" w:rsidRPr="009733F2" w:rsidRDefault="009733F2" w:rsidP="009733F2">
            <w:pPr>
              <w:spacing w:after="0" w:line="240" w:lineRule="auto"/>
              <w:rPr>
                <w:rFonts w:ascii="Univers 57 Condensed" w:eastAsia="Times New Roman" w:hAnsi="Univers 57 Condensed" w:cs="Times New Roman"/>
                <w:b/>
                <w:bCs/>
                <w:color w:val="000000"/>
                <w:sz w:val="22"/>
                <w:szCs w:val="22"/>
              </w:rPr>
            </w:pPr>
            <w:r w:rsidRPr="009733F2">
              <w:rPr>
                <w:rFonts w:ascii="Univers 57 Condensed" w:eastAsia="Times New Roman" w:hAnsi="Univers 57 Condensed" w:cs="Times New Roman"/>
                <w:b/>
                <w:bCs/>
                <w:color w:val="000000"/>
                <w:sz w:val="22"/>
                <w:szCs w:val="22"/>
              </w:rPr>
              <w:t>Pohnpei</w:t>
            </w:r>
          </w:p>
        </w:tc>
        <w:tc>
          <w:tcPr>
            <w:tcW w:w="378" w:type="pct"/>
            <w:tcBorders>
              <w:top w:val="nil"/>
              <w:left w:val="nil"/>
              <w:bottom w:val="nil"/>
              <w:right w:val="single" w:sz="4" w:space="0" w:color="auto"/>
            </w:tcBorders>
            <w:noWrap/>
            <w:vAlign w:val="bottom"/>
          </w:tcPr>
          <w:p w14:paraId="0122C55A" w14:textId="3668451B"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399" w:type="pct"/>
            <w:tcBorders>
              <w:top w:val="nil"/>
              <w:left w:val="nil"/>
              <w:bottom w:val="nil"/>
              <w:right w:val="nil"/>
            </w:tcBorders>
            <w:noWrap/>
            <w:vAlign w:val="bottom"/>
            <w:hideMark/>
          </w:tcPr>
          <w:p w14:paraId="2DF9D0FB"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529" w:type="pct"/>
            <w:tcBorders>
              <w:top w:val="nil"/>
              <w:left w:val="single" w:sz="4" w:space="0" w:color="auto"/>
              <w:bottom w:val="nil"/>
              <w:right w:val="single" w:sz="4" w:space="0" w:color="auto"/>
            </w:tcBorders>
            <w:noWrap/>
            <w:vAlign w:val="bottom"/>
            <w:hideMark/>
          </w:tcPr>
          <w:p w14:paraId="63D30B5E"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441" w:type="pct"/>
            <w:tcBorders>
              <w:top w:val="nil"/>
              <w:left w:val="nil"/>
              <w:bottom w:val="nil"/>
              <w:right w:val="nil"/>
            </w:tcBorders>
            <w:noWrap/>
            <w:vAlign w:val="bottom"/>
            <w:hideMark/>
          </w:tcPr>
          <w:p w14:paraId="326806DA"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542" w:type="pct"/>
            <w:tcBorders>
              <w:top w:val="nil"/>
              <w:left w:val="single" w:sz="4" w:space="0" w:color="auto"/>
              <w:bottom w:val="nil"/>
              <w:right w:val="single" w:sz="4" w:space="0" w:color="auto"/>
            </w:tcBorders>
            <w:noWrap/>
            <w:vAlign w:val="bottom"/>
            <w:hideMark/>
          </w:tcPr>
          <w:p w14:paraId="5BDBB85A"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621" w:type="pct"/>
            <w:tcBorders>
              <w:top w:val="nil"/>
              <w:left w:val="nil"/>
              <w:bottom w:val="nil"/>
              <w:right w:val="single" w:sz="4" w:space="0" w:color="auto"/>
            </w:tcBorders>
            <w:noWrap/>
            <w:vAlign w:val="bottom"/>
            <w:hideMark/>
          </w:tcPr>
          <w:p w14:paraId="173C48C3"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357" w:type="pct"/>
            <w:tcBorders>
              <w:top w:val="nil"/>
              <w:left w:val="nil"/>
              <w:bottom w:val="nil"/>
              <w:right w:val="single" w:sz="4" w:space="0" w:color="auto"/>
            </w:tcBorders>
            <w:noWrap/>
            <w:vAlign w:val="bottom"/>
            <w:hideMark/>
          </w:tcPr>
          <w:p w14:paraId="7EC0222C"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386" w:type="pct"/>
            <w:tcBorders>
              <w:top w:val="nil"/>
              <w:left w:val="nil"/>
              <w:bottom w:val="nil"/>
              <w:right w:val="single" w:sz="4" w:space="0" w:color="auto"/>
            </w:tcBorders>
            <w:noWrap/>
            <w:vAlign w:val="bottom"/>
            <w:hideMark/>
          </w:tcPr>
          <w:p w14:paraId="2BEC012D"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r>
      <w:tr w:rsidR="00926C16" w:rsidRPr="009733F2" w14:paraId="77270009" w14:textId="77777777" w:rsidTr="003E1F8B">
        <w:trPr>
          <w:trHeight w:val="300"/>
        </w:trPr>
        <w:tc>
          <w:tcPr>
            <w:tcW w:w="814" w:type="pct"/>
            <w:tcBorders>
              <w:top w:val="nil"/>
              <w:left w:val="single" w:sz="4" w:space="0" w:color="auto"/>
              <w:bottom w:val="nil"/>
              <w:right w:val="nil"/>
            </w:tcBorders>
            <w:noWrap/>
            <w:vAlign w:val="bottom"/>
            <w:hideMark/>
          </w:tcPr>
          <w:p w14:paraId="4CB8BE90" w14:textId="77777777" w:rsidR="009733F2" w:rsidRPr="009733F2" w:rsidRDefault="009733F2" w:rsidP="009733F2">
            <w:pPr>
              <w:spacing w:after="0" w:line="240" w:lineRule="auto"/>
              <w:rPr>
                <w:rFonts w:ascii="Univers 57 Condensed" w:eastAsia="Times New Roman" w:hAnsi="Univers 57 Condensed" w:cs="Times New Roman"/>
                <w:b/>
                <w:bCs/>
                <w:color w:val="000000"/>
                <w:sz w:val="22"/>
                <w:szCs w:val="22"/>
              </w:rPr>
            </w:pPr>
            <w:r w:rsidRPr="009733F2">
              <w:rPr>
                <w:rFonts w:ascii="Calibri" w:eastAsia="Times New Roman" w:hAnsi="Calibri" w:cs="Calibri"/>
                <w:b/>
                <w:bCs/>
                <w:color w:val="000000"/>
                <w:sz w:val="22"/>
                <w:szCs w:val="22"/>
              </w:rPr>
              <w:t> </w:t>
            </w:r>
          </w:p>
        </w:tc>
        <w:tc>
          <w:tcPr>
            <w:tcW w:w="533" w:type="pct"/>
            <w:tcBorders>
              <w:top w:val="nil"/>
              <w:left w:val="single" w:sz="4" w:space="0" w:color="auto"/>
              <w:bottom w:val="single" w:sz="4" w:space="0" w:color="auto"/>
              <w:right w:val="single" w:sz="4" w:space="0" w:color="auto"/>
            </w:tcBorders>
            <w:noWrap/>
            <w:vAlign w:val="bottom"/>
            <w:hideMark/>
          </w:tcPr>
          <w:p w14:paraId="667388FB" w14:textId="77777777" w:rsidR="009733F2" w:rsidRPr="009733F2" w:rsidRDefault="009733F2" w:rsidP="009733F2">
            <w:pPr>
              <w:spacing w:after="0" w:line="240" w:lineRule="auto"/>
              <w:rPr>
                <w:rFonts w:ascii="Univers 57 Condensed" w:eastAsia="Times New Roman" w:hAnsi="Univers 57 Condensed" w:cs="Times New Roman"/>
                <w:b/>
                <w:bCs/>
                <w:color w:val="000000"/>
                <w:sz w:val="22"/>
                <w:szCs w:val="22"/>
              </w:rPr>
            </w:pPr>
            <w:r w:rsidRPr="009733F2">
              <w:rPr>
                <w:rFonts w:ascii="Univers 57 Condensed" w:eastAsia="Times New Roman" w:hAnsi="Univers 57 Condensed" w:cs="Times New Roman"/>
                <w:b/>
                <w:bCs/>
                <w:color w:val="000000"/>
                <w:sz w:val="22"/>
                <w:szCs w:val="22"/>
              </w:rPr>
              <w:t>Kosrae</w:t>
            </w:r>
          </w:p>
        </w:tc>
        <w:tc>
          <w:tcPr>
            <w:tcW w:w="378" w:type="pct"/>
            <w:tcBorders>
              <w:top w:val="nil"/>
              <w:left w:val="nil"/>
              <w:bottom w:val="nil"/>
              <w:right w:val="single" w:sz="4" w:space="0" w:color="auto"/>
            </w:tcBorders>
            <w:noWrap/>
            <w:vAlign w:val="bottom"/>
          </w:tcPr>
          <w:p w14:paraId="795AE9E2" w14:textId="592FFA9E"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399" w:type="pct"/>
            <w:tcBorders>
              <w:top w:val="nil"/>
              <w:left w:val="nil"/>
              <w:bottom w:val="nil"/>
              <w:right w:val="nil"/>
            </w:tcBorders>
            <w:noWrap/>
            <w:vAlign w:val="bottom"/>
            <w:hideMark/>
          </w:tcPr>
          <w:p w14:paraId="2FCB881A"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529" w:type="pct"/>
            <w:tcBorders>
              <w:top w:val="nil"/>
              <w:left w:val="single" w:sz="4" w:space="0" w:color="auto"/>
              <w:bottom w:val="nil"/>
              <w:right w:val="single" w:sz="4" w:space="0" w:color="auto"/>
            </w:tcBorders>
            <w:noWrap/>
            <w:vAlign w:val="bottom"/>
            <w:hideMark/>
          </w:tcPr>
          <w:p w14:paraId="2E3110CF"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441" w:type="pct"/>
            <w:tcBorders>
              <w:top w:val="nil"/>
              <w:left w:val="nil"/>
              <w:bottom w:val="nil"/>
              <w:right w:val="nil"/>
            </w:tcBorders>
            <w:noWrap/>
            <w:vAlign w:val="bottom"/>
            <w:hideMark/>
          </w:tcPr>
          <w:p w14:paraId="2B5E93FE"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542" w:type="pct"/>
            <w:tcBorders>
              <w:top w:val="nil"/>
              <w:left w:val="single" w:sz="4" w:space="0" w:color="auto"/>
              <w:bottom w:val="nil"/>
              <w:right w:val="single" w:sz="4" w:space="0" w:color="auto"/>
            </w:tcBorders>
            <w:noWrap/>
            <w:vAlign w:val="bottom"/>
            <w:hideMark/>
          </w:tcPr>
          <w:p w14:paraId="666032FD"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621" w:type="pct"/>
            <w:tcBorders>
              <w:top w:val="nil"/>
              <w:left w:val="nil"/>
              <w:bottom w:val="nil"/>
              <w:right w:val="single" w:sz="4" w:space="0" w:color="auto"/>
            </w:tcBorders>
            <w:noWrap/>
            <w:vAlign w:val="bottom"/>
            <w:hideMark/>
          </w:tcPr>
          <w:p w14:paraId="13910B33"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357" w:type="pct"/>
            <w:tcBorders>
              <w:top w:val="nil"/>
              <w:left w:val="nil"/>
              <w:bottom w:val="nil"/>
              <w:right w:val="single" w:sz="4" w:space="0" w:color="auto"/>
            </w:tcBorders>
            <w:noWrap/>
            <w:vAlign w:val="bottom"/>
            <w:hideMark/>
          </w:tcPr>
          <w:p w14:paraId="3E675D99"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386" w:type="pct"/>
            <w:tcBorders>
              <w:top w:val="nil"/>
              <w:left w:val="nil"/>
              <w:bottom w:val="nil"/>
              <w:right w:val="single" w:sz="4" w:space="0" w:color="auto"/>
            </w:tcBorders>
            <w:noWrap/>
            <w:vAlign w:val="bottom"/>
            <w:hideMark/>
          </w:tcPr>
          <w:p w14:paraId="1E7E87A8"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r>
      <w:tr w:rsidR="00926C16" w:rsidRPr="009733F2" w14:paraId="1E66EC13" w14:textId="77777777" w:rsidTr="4CB23653">
        <w:trPr>
          <w:trHeight w:val="300"/>
        </w:trPr>
        <w:tc>
          <w:tcPr>
            <w:tcW w:w="814" w:type="pct"/>
            <w:tcBorders>
              <w:top w:val="single" w:sz="4" w:space="0" w:color="auto"/>
              <w:left w:val="single" w:sz="4" w:space="0" w:color="auto"/>
              <w:bottom w:val="single" w:sz="4" w:space="0" w:color="auto"/>
              <w:right w:val="nil"/>
            </w:tcBorders>
            <w:shd w:val="clear" w:color="auto" w:fill="D9D9D9" w:themeFill="background1" w:themeFillShade="D9"/>
            <w:noWrap/>
            <w:vAlign w:val="bottom"/>
            <w:hideMark/>
          </w:tcPr>
          <w:p w14:paraId="2E394877" w14:textId="77777777" w:rsidR="009733F2" w:rsidRPr="009733F2" w:rsidRDefault="009733F2" w:rsidP="009733F2">
            <w:pPr>
              <w:spacing w:after="0" w:line="240" w:lineRule="auto"/>
              <w:rPr>
                <w:rFonts w:ascii="Univers 57 Condensed" w:eastAsia="Times New Roman" w:hAnsi="Univers 57 Condensed" w:cs="Times New Roman"/>
                <w:b/>
                <w:bCs/>
                <w:color w:val="000000"/>
                <w:sz w:val="22"/>
                <w:szCs w:val="22"/>
              </w:rPr>
            </w:pPr>
            <w:r w:rsidRPr="009733F2">
              <w:rPr>
                <w:rFonts w:ascii="Univers 57 Condensed" w:eastAsia="Times New Roman" w:hAnsi="Univers 57 Condensed" w:cs="Times New Roman"/>
                <w:b/>
                <w:bCs/>
                <w:color w:val="000000"/>
                <w:sz w:val="22"/>
                <w:szCs w:val="22"/>
              </w:rPr>
              <w:t>Fiji (FIJ)</w:t>
            </w:r>
          </w:p>
        </w:tc>
        <w:tc>
          <w:tcPr>
            <w:tcW w:w="533" w:type="pct"/>
            <w:tcBorders>
              <w:top w:val="nil"/>
              <w:left w:val="nil"/>
              <w:bottom w:val="single" w:sz="4" w:space="0" w:color="auto"/>
              <w:right w:val="nil"/>
            </w:tcBorders>
            <w:shd w:val="clear" w:color="auto" w:fill="D9D9D9" w:themeFill="background1" w:themeFillShade="D9"/>
            <w:noWrap/>
            <w:vAlign w:val="bottom"/>
            <w:hideMark/>
          </w:tcPr>
          <w:p w14:paraId="669DC5FC" w14:textId="77777777" w:rsidR="009733F2" w:rsidRPr="009733F2" w:rsidRDefault="009733F2" w:rsidP="009733F2">
            <w:pPr>
              <w:spacing w:after="0" w:line="240" w:lineRule="auto"/>
              <w:rPr>
                <w:rFonts w:ascii="Univers 57 Condensed" w:eastAsia="Times New Roman" w:hAnsi="Univers 57 Condensed" w:cs="Times New Roman"/>
                <w:b/>
                <w:bCs/>
                <w:color w:val="000000"/>
                <w:sz w:val="22"/>
                <w:szCs w:val="22"/>
              </w:rPr>
            </w:pPr>
            <w:r w:rsidRPr="009733F2">
              <w:rPr>
                <w:rFonts w:ascii="Calibri" w:eastAsia="Times New Roman" w:hAnsi="Calibri" w:cs="Calibri"/>
                <w:b/>
                <w:bCs/>
                <w:color w:val="000000"/>
                <w:sz w:val="22"/>
                <w:szCs w:val="22"/>
              </w:rPr>
              <w:t> </w:t>
            </w:r>
          </w:p>
        </w:tc>
        <w:tc>
          <w:tcPr>
            <w:tcW w:w="378" w:type="pct"/>
            <w:tcBorders>
              <w:top w:val="single" w:sz="4" w:space="0" w:color="auto"/>
              <w:left w:val="nil"/>
              <w:bottom w:val="single" w:sz="4" w:space="0" w:color="auto"/>
              <w:right w:val="nil"/>
            </w:tcBorders>
            <w:shd w:val="clear" w:color="auto" w:fill="D9D9D9" w:themeFill="background1" w:themeFillShade="D9"/>
            <w:noWrap/>
            <w:vAlign w:val="bottom"/>
            <w:hideMark/>
          </w:tcPr>
          <w:p w14:paraId="4DC13CB2" w14:textId="77777777" w:rsidR="009733F2" w:rsidRPr="009733F2" w:rsidRDefault="009733F2" w:rsidP="009733F2">
            <w:pPr>
              <w:spacing w:after="0" w:line="240" w:lineRule="auto"/>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399" w:type="pct"/>
            <w:tcBorders>
              <w:top w:val="single" w:sz="4" w:space="0" w:color="auto"/>
              <w:left w:val="nil"/>
              <w:bottom w:val="single" w:sz="4" w:space="0" w:color="auto"/>
              <w:right w:val="nil"/>
            </w:tcBorders>
            <w:shd w:val="clear" w:color="auto" w:fill="D9D9D9" w:themeFill="background1" w:themeFillShade="D9"/>
            <w:noWrap/>
            <w:vAlign w:val="bottom"/>
            <w:hideMark/>
          </w:tcPr>
          <w:p w14:paraId="094264F0" w14:textId="77777777" w:rsidR="009733F2" w:rsidRPr="009733F2" w:rsidRDefault="009733F2" w:rsidP="009733F2">
            <w:pPr>
              <w:spacing w:after="0" w:line="240" w:lineRule="auto"/>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529" w:type="pct"/>
            <w:tcBorders>
              <w:top w:val="single" w:sz="4" w:space="0" w:color="auto"/>
              <w:left w:val="nil"/>
              <w:bottom w:val="single" w:sz="4" w:space="0" w:color="auto"/>
              <w:right w:val="nil"/>
            </w:tcBorders>
            <w:shd w:val="clear" w:color="auto" w:fill="D9D9D9" w:themeFill="background1" w:themeFillShade="D9"/>
            <w:noWrap/>
            <w:vAlign w:val="bottom"/>
            <w:hideMark/>
          </w:tcPr>
          <w:p w14:paraId="532710B8" w14:textId="77777777" w:rsidR="009733F2" w:rsidRPr="009733F2" w:rsidRDefault="009733F2" w:rsidP="009733F2">
            <w:pPr>
              <w:spacing w:after="0" w:line="240" w:lineRule="auto"/>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441" w:type="pct"/>
            <w:tcBorders>
              <w:top w:val="single" w:sz="4" w:space="0" w:color="auto"/>
              <w:left w:val="nil"/>
              <w:bottom w:val="single" w:sz="4" w:space="0" w:color="auto"/>
              <w:right w:val="nil"/>
            </w:tcBorders>
            <w:shd w:val="clear" w:color="auto" w:fill="D9D9D9" w:themeFill="background1" w:themeFillShade="D9"/>
            <w:noWrap/>
            <w:vAlign w:val="bottom"/>
            <w:hideMark/>
          </w:tcPr>
          <w:p w14:paraId="1CB95244" w14:textId="77777777" w:rsidR="009733F2" w:rsidRPr="009733F2" w:rsidRDefault="009733F2" w:rsidP="009733F2">
            <w:pPr>
              <w:spacing w:after="0" w:line="240" w:lineRule="auto"/>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542" w:type="pct"/>
            <w:tcBorders>
              <w:top w:val="single" w:sz="4" w:space="0" w:color="auto"/>
              <w:left w:val="nil"/>
              <w:bottom w:val="single" w:sz="4" w:space="0" w:color="auto"/>
              <w:right w:val="nil"/>
            </w:tcBorders>
            <w:shd w:val="clear" w:color="auto" w:fill="D9D9D9" w:themeFill="background1" w:themeFillShade="D9"/>
            <w:noWrap/>
            <w:vAlign w:val="bottom"/>
            <w:hideMark/>
          </w:tcPr>
          <w:p w14:paraId="0C95B201" w14:textId="77777777" w:rsidR="009733F2" w:rsidRPr="009733F2" w:rsidRDefault="009733F2" w:rsidP="009733F2">
            <w:pPr>
              <w:spacing w:after="0" w:line="240" w:lineRule="auto"/>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621" w:type="pct"/>
            <w:tcBorders>
              <w:top w:val="single" w:sz="4" w:space="0" w:color="auto"/>
              <w:left w:val="nil"/>
              <w:bottom w:val="single" w:sz="4" w:space="0" w:color="auto"/>
              <w:right w:val="nil"/>
            </w:tcBorders>
            <w:shd w:val="clear" w:color="auto" w:fill="D9D9D9" w:themeFill="background1" w:themeFillShade="D9"/>
            <w:noWrap/>
            <w:vAlign w:val="bottom"/>
            <w:hideMark/>
          </w:tcPr>
          <w:p w14:paraId="65DA85C9" w14:textId="77777777" w:rsidR="009733F2" w:rsidRPr="009733F2" w:rsidRDefault="009733F2" w:rsidP="009733F2">
            <w:pPr>
              <w:spacing w:after="0" w:line="240" w:lineRule="auto"/>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357" w:type="pct"/>
            <w:tcBorders>
              <w:top w:val="single" w:sz="4" w:space="0" w:color="auto"/>
              <w:left w:val="nil"/>
              <w:bottom w:val="single" w:sz="4" w:space="0" w:color="auto"/>
              <w:right w:val="nil"/>
            </w:tcBorders>
            <w:shd w:val="clear" w:color="auto" w:fill="D9D9D9" w:themeFill="background1" w:themeFillShade="D9"/>
            <w:noWrap/>
            <w:vAlign w:val="bottom"/>
            <w:hideMark/>
          </w:tcPr>
          <w:p w14:paraId="0B4B5D6B" w14:textId="77777777" w:rsidR="009733F2" w:rsidRPr="009733F2" w:rsidRDefault="009733F2" w:rsidP="009733F2">
            <w:pPr>
              <w:spacing w:after="0" w:line="240" w:lineRule="auto"/>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386" w:type="pct"/>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654B8CD6" w14:textId="77777777" w:rsidR="009733F2" w:rsidRPr="009733F2" w:rsidRDefault="009733F2" w:rsidP="009733F2">
            <w:pPr>
              <w:spacing w:after="0" w:line="240" w:lineRule="auto"/>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 xml:space="preserve"> </w:t>
            </w:r>
          </w:p>
        </w:tc>
      </w:tr>
      <w:tr w:rsidR="00926C16" w:rsidRPr="009733F2" w14:paraId="5BEF5CB4" w14:textId="77777777" w:rsidTr="4CB23653">
        <w:trPr>
          <w:trHeight w:val="300"/>
        </w:trPr>
        <w:tc>
          <w:tcPr>
            <w:tcW w:w="814" w:type="pct"/>
            <w:tcBorders>
              <w:top w:val="nil"/>
              <w:left w:val="single" w:sz="4" w:space="0" w:color="auto"/>
              <w:bottom w:val="nil"/>
              <w:right w:val="nil"/>
            </w:tcBorders>
            <w:noWrap/>
            <w:vAlign w:val="bottom"/>
            <w:hideMark/>
          </w:tcPr>
          <w:p w14:paraId="6D7B51D1" w14:textId="77777777" w:rsidR="009733F2" w:rsidRPr="009733F2" w:rsidRDefault="009733F2" w:rsidP="009733F2">
            <w:pPr>
              <w:spacing w:after="0" w:line="240" w:lineRule="auto"/>
              <w:rPr>
                <w:rFonts w:ascii="Univers 57 Condensed" w:eastAsia="Times New Roman" w:hAnsi="Univers 57 Condensed" w:cs="Times New Roman"/>
                <w:b/>
                <w:bCs/>
                <w:color w:val="000000"/>
                <w:sz w:val="22"/>
                <w:szCs w:val="22"/>
              </w:rPr>
            </w:pPr>
            <w:r w:rsidRPr="009733F2">
              <w:rPr>
                <w:rFonts w:ascii="Calibri" w:eastAsia="Times New Roman" w:hAnsi="Calibri" w:cs="Calibri"/>
                <w:b/>
                <w:bCs/>
                <w:color w:val="000000"/>
                <w:sz w:val="22"/>
                <w:szCs w:val="22"/>
              </w:rPr>
              <w:t> </w:t>
            </w:r>
          </w:p>
        </w:tc>
        <w:tc>
          <w:tcPr>
            <w:tcW w:w="533" w:type="pct"/>
            <w:tcBorders>
              <w:top w:val="nil"/>
              <w:left w:val="single" w:sz="4" w:space="0" w:color="auto"/>
              <w:bottom w:val="single" w:sz="4" w:space="0" w:color="auto"/>
              <w:right w:val="single" w:sz="4" w:space="0" w:color="auto"/>
            </w:tcBorders>
            <w:noWrap/>
            <w:vAlign w:val="bottom"/>
            <w:hideMark/>
          </w:tcPr>
          <w:p w14:paraId="2EFEB29E" w14:textId="06CEBC78" w:rsidR="009733F2" w:rsidRPr="009733F2" w:rsidRDefault="7A470EA7" w:rsidP="009733F2">
            <w:pPr>
              <w:spacing w:after="0" w:line="240" w:lineRule="auto"/>
              <w:rPr>
                <w:rFonts w:ascii="Univers 57 Condensed" w:eastAsia="Times New Roman" w:hAnsi="Univers 57 Condensed" w:cs="Times New Roman"/>
                <w:b/>
                <w:bCs/>
                <w:color w:val="000000"/>
                <w:sz w:val="22"/>
                <w:szCs w:val="22"/>
              </w:rPr>
            </w:pPr>
            <w:r w:rsidRPr="4CB23653">
              <w:rPr>
                <w:rFonts w:ascii="Univers 57 Condensed" w:eastAsia="Times New Roman" w:hAnsi="Univers 57 Condensed" w:cs="Times New Roman"/>
                <w:b/>
                <w:bCs/>
                <w:color w:val="000000" w:themeColor="text1"/>
                <w:sz w:val="22"/>
                <w:szCs w:val="22"/>
              </w:rPr>
              <w:t>Vit</w:t>
            </w:r>
            <w:r w:rsidR="3636FC25" w:rsidRPr="4CB23653">
              <w:rPr>
                <w:rFonts w:ascii="Univers 57 Condensed" w:eastAsia="Times New Roman" w:hAnsi="Univers 57 Condensed" w:cs="Times New Roman"/>
                <w:b/>
                <w:bCs/>
                <w:color w:val="000000" w:themeColor="text1"/>
                <w:sz w:val="22"/>
                <w:szCs w:val="22"/>
              </w:rPr>
              <w:t>i</w:t>
            </w:r>
            <w:r w:rsidRPr="4CB23653">
              <w:rPr>
                <w:rFonts w:ascii="Univers 57 Condensed" w:eastAsia="Times New Roman" w:hAnsi="Univers 57 Condensed" w:cs="Times New Roman"/>
                <w:b/>
                <w:bCs/>
                <w:color w:val="000000" w:themeColor="text1"/>
                <w:sz w:val="22"/>
                <w:szCs w:val="22"/>
              </w:rPr>
              <w:t xml:space="preserve"> Levu (Suva)</w:t>
            </w:r>
          </w:p>
        </w:tc>
        <w:tc>
          <w:tcPr>
            <w:tcW w:w="378" w:type="pct"/>
            <w:tcBorders>
              <w:top w:val="nil"/>
              <w:left w:val="nil"/>
              <w:bottom w:val="nil"/>
              <w:right w:val="single" w:sz="4" w:space="0" w:color="auto"/>
            </w:tcBorders>
            <w:noWrap/>
            <w:vAlign w:val="bottom"/>
            <w:hideMark/>
          </w:tcPr>
          <w:p w14:paraId="7C171C41" w14:textId="1A5A972C"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p>
        </w:tc>
        <w:tc>
          <w:tcPr>
            <w:tcW w:w="399" w:type="pct"/>
            <w:tcBorders>
              <w:top w:val="nil"/>
              <w:left w:val="nil"/>
              <w:bottom w:val="nil"/>
              <w:right w:val="nil"/>
            </w:tcBorders>
            <w:noWrap/>
            <w:vAlign w:val="bottom"/>
            <w:hideMark/>
          </w:tcPr>
          <w:p w14:paraId="1DA3E70C"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529" w:type="pct"/>
            <w:tcBorders>
              <w:top w:val="nil"/>
              <w:left w:val="single" w:sz="4" w:space="0" w:color="auto"/>
              <w:bottom w:val="nil"/>
              <w:right w:val="single" w:sz="4" w:space="0" w:color="auto"/>
            </w:tcBorders>
            <w:noWrap/>
            <w:vAlign w:val="bottom"/>
            <w:hideMark/>
          </w:tcPr>
          <w:p w14:paraId="33E36D89"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441" w:type="pct"/>
            <w:tcBorders>
              <w:top w:val="nil"/>
              <w:left w:val="nil"/>
              <w:bottom w:val="nil"/>
              <w:right w:val="nil"/>
            </w:tcBorders>
            <w:noWrap/>
            <w:vAlign w:val="bottom"/>
            <w:hideMark/>
          </w:tcPr>
          <w:p w14:paraId="36EDE0C2"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542" w:type="pct"/>
            <w:tcBorders>
              <w:top w:val="nil"/>
              <w:left w:val="single" w:sz="4" w:space="0" w:color="auto"/>
              <w:bottom w:val="nil"/>
              <w:right w:val="single" w:sz="4" w:space="0" w:color="auto"/>
            </w:tcBorders>
            <w:noWrap/>
            <w:vAlign w:val="bottom"/>
            <w:hideMark/>
          </w:tcPr>
          <w:p w14:paraId="5ED450F6"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621" w:type="pct"/>
            <w:tcBorders>
              <w:top w:val="nil"/>
              <w:left w:val="nil"/>
              <w:bottom w:val="nil"/>
              <w:right w:val="single" w:sz="4" w:space="0" w:color="auto"/>
            </w:tcBorders>
            <w:noWrap/>
            <w:vAlign w:val="bottom"/>
            <w:hideMark/>
          </w:tcPr>
          <w:p w14:paraId="1232C915"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357" w:type="pct"/>
            <w:tcBorders>
              <w:top w:val="nil"/>
              <w:left w:val="nil"/>
              <w:bottom w:val="nil"/>
              <w:right w:val="single" w:sz="4" w:space="0" w:color="auto"/>
            </w:tcBorders>
            <w:noWrap/>
            <w:vAlign w:val="bottom"/>
            <w:hideMark/>
          </w:tcPr>
          <w:p w14:paraId="4158EAB1"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386" w:type="pct"/>
            <w:tcBorders>
              <w:top w:val="nil"/>
              <w:left w:val="nil"/>
              <w:bottom w:val="nil"/>
              <w:right w:val="single" w:sz="4" w:space="0" w:color="auto"/>
            </w:tcBorders>
            <w:noWrap/>
            <w:vAlign w:val="bottom"/>
            <w:hideMark/>
          </w:tcPr>
          <w:p w14:paraId="0B306DC2"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r>
      <w:tr w:rsidR="00926C16" w:rsidRPr="009733F2" w14:paraId="3AC227E6" w14:textId="77777777" w:rsidTr="4CB23653">
        <w:trPr>
          <w:trHeight w:val="300"/>
        </w:trPr>
        <w:tc>
          <w:tcPr>
            <w:tcW w:w="814" w:type="pct"/>
            <w:tcBorders>
              <w:top w:val="single" w:sz="4" w:space="0" w:color="auto"/>
              <w:left w:val="single" w:sz="4" w:space="0" w:color="auto"/>
              <w:bottom w:val="single" w:sz="4" w:space="0" w:color="auto"/>
              <w:right w:val="nil"/>
            </w:tcBorders>
            <w:shd w:val="clear" w:color="auto" w:fill="D9D9D9" w:themeFill="background1" w:themeFillShade="D9"/>
            <w:noWrap/>
            <w:vAlign w:val="bottom"/>
            <w:hideMark/>
          </w:tcPr>
          <w:p w14:paraId="08C44C32" w14:textId="77777777" w:rsidR="009733F2" w:rsidRPr="009733F2" w:rsidRDefault="009733F2" w:rsidP="009733F2">
            <w:pPr>
              <w:spacing w:after="0" w:line="240" w:lineRule="auto"/>
              <w:rPr>
                <w:rFonts w:ascii="Univers 57 Condensed" w:eastAsia="Times New Roman" w:hAnsi="Univers 57 Condensed" w:cs="Times New Roman"/>
                <w:b/>
                <w:bCs/>
                <w:color w:val="000000"/>
                <w:sz w:val="22"/>
                <w:szCs w:val="22"/>
              </w:rPr>
            </w:pPr>
            <w:r w:rsidRPr="009733F2">
              <w:rPr>
                <w:rFonts w:ascii="Univers 57 Condensed" w:eastAsia="Times New Roman" w:hAnsi="Univers 57 Condensed" w:cs="Times New Roman"/>
                <w:b/>
                <w:bCs/>
                <w:color w:val="000000"/>
                <w:sz w:val="22"/>
                <w:szCs w:val="22"/>
              </w:rPr>
              <w:t>Nauru (NAU)</w:t>
            </w:r>
          </w:p>
        </w:tc>
        <w:tc>
          <w:tcPr>
            <w:tcW w:w="533" w:type="pct"/>
            <w:tcBorders>
              <w:top w:val="nil"/>
              <w:left w:val="nil"/>
              <w:bottom w:val="single" w:sz="4" w:space="0" w:color="auto"/>
              <w:right w:val="nil"/>
            </w:tcBorders>
            <w:shd w:val="clear" w:color="auto" w:fill="D9D9D9" w:themeFill="background1" w:themeFillShade="D9"/>
            <w:noWrap/>
            <w:vAlign w:val="bottom"/>
            <w:hideMark/>
          </w:tcPr>
          <w:p w14:paraId="6DABD5BB" w14:textId="77777777" w:rsidR="009733F2" w:rsidRPr="009733F2" w:rsidRDefault="009733F2" w:rsidP="009733F2">
            <w:pPr>
              <w:spacing w:after="0" w:line="240" w:lineRule="auto"/>
              <w:rPr>
                <w:rFonts w:ascii="Univers 57 Condensed" w:eastAsia="Times New Roman" w:hAnsi="Univers 57 Condensed" w:cs="Times New Roman"/>
                <w:b/>
                <w:bCs/>
                <w:color w:val="000000"/>
                <w:sz w:val="22"/>
                <w:szCs w:val="22"/>
              </w:rPr>
            </w:pPr>
            <w:r w:rsidRPr="009733F2">
              <w:rPr>
                <w:rFonts w:ascii="Calibri" w:eastAsia="Times New Roman" w:hAnsi="Calibri" w:cs="Calibri"/>
                <w:b/>
                <w:bCs/>
                <w:color w:val="000000"/>
                <w:sz w:val="22"/>
                <w:szCs w:val="22"/>
              </w:rPr>
              <w:t> </w:t>
            </w:r>
          </w:p>
        </w:tc>
        <w:tc>
          <w:tcPr>
            <w:tcW w:w="378" w:type="pct"/>
            <w:tcBorders>
              <w:top w:val="single" w:sz="4" w:space="0" w:color="auto"/>
              <w:left w:val="nil"/>
              <w:bottom w:val="single" w:sz="4" w:space="0" w:color="auto"/>
              <w:right w:val="nil"/>
            </w:tcBorders>
            <w:shd w:val="clear" w:color="auto" w:fill="D9D9D9" w:themeFill="background1" w:themeFillShade="D9"/>
            <w:noWrap/>
            <w:vAlign w:val="bottom"/>
            <w:hideMark/>
          </w:tcPr>
          <w:p w14:paraId="74335048" w14:textId="77777777" w:rsidR="009733F2" w:rsidRPr="009733F2" w:rsidRDefault="009733F2" w:rsidP="009733F2">
            <w:pPr>
              <w:spacing w:after="0" w:line="240" w:lineRule="auto"/>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399" w:type="pct"/>
            <w:tcBorders>
              <w:top w:val="single" w:sz="4" w:space="0" w:color="auto"/>
              <w:left w:val="nil"/>
              <w:bottom w:val="single" w:sz="4" w:space="0" w:color="auto"/>
              <w:right w:val="nil"/>
            </w:tcBorders>
            <w:shd w:val="clear" w:color="auto" w:fill="D9D9D9" w:themeFill="background1" w:themeFillShade="D9"/>
            <w:noWrap/>
            <w:vAlign w:val="bottom"/>
            <w:hideMark/>
          </w:tcPr>
          <w:p w14:paraId="6F9BC2FA" w14:textId="77777777" w:rsidR="009733F2" w:rsidRPr="009733F2" w:rsidRDefault="009733F2" w:rsidP="009733F2">
            <w:pPr>
              <w:spacing w:after="0" w:line="240" w:lineRule="auto"/>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529" w:type="pct"/>
            <w:tcBorders>
              <w:top w:val="single" w:sz="4" w:space="0" w:color="auto"/>
              <w:left w:val="nil"/>
              <w:bottom w:val="single" w:sz="4" w:space="0" w:color="auto"/>
              <w:right w:val="nil"/>
            </w:tcBorders>
            <w:shd w:val="clear" w:color="auto" w:fill="D9D9D9" w:themeFill="background1" w:themeFillShade="D9"/>
            <w:noWrap/>
            <w:vAlign w:val="bottom"/>
            <w:hideMark/>
          </w:tcPr>
          <w:p w14:paraId="4593F585" w14:textId="77777777" w:rsidR="009733F2" w:rsidRPr="009733F2" w:rsidRDefault="009733F2" w:rsidP="009733F2">
            <w:pPr>
              <w:spacing w:after="0" w:line="240" w:lineRule="auto"/>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441" w:type="pct"/>
            <w:tcBorders>
              <w:top w:val="single" w:sz="4" w:space="0" w:color="auto"/>
              <w:left w:val="nil"/>
              <w:bottom w:val="single" w:sz="4" w:space="0" w:color="auto"/>
              <w:right w:val="nil"/>
            </w:tcBorders>
            <w:shd w:val="clear" w:color="auto" w:fill="D9D9D9" w:themeFill="background1" w:themeFillShade="D9"/>
            <w:noWrap/>
            <w:vAlign w:val="bottom"/>
            <w:hideMark/>
          </w:tcPr>
          <w:p w14:paraId="583EBD2A" w14:textId="77777777" w:rsidR="009733F2" w:rsidRPr="009733F2" w:rsidRDefault="009733F2" w:rsidP="009733F2">
            <w:pPr>
              <w:spacing w:after="0" w:line="240" w:lineRule="auto"/>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542" w:type="pct"/>
            <w:tcBorders>
              <w:top w:val="single" w:sz="4" w:space="0" w:color="auto"/>
              <w:left w:val="nil"/>
              <w:bottom w:val="single" w:sz="4" w:space="0" w:color="auto"/>
              <w:right w:val="nil"/>
            </w:tcBorders>
            <w:shd w:val="clear" w:color="auto" w:fill="D9D9D9" w:themeFill="background1" w:themeFillShade="D9"/>
            <w:noWrap/>
            <w:vAlign w:val="bottom"/>
            <w:hideMark/>
          </w:tcPr>
          <w:p w14:paraId="79EBE9E4" w14:textId="77777777" w:rsidR="009733F2" w:rsidRPr="009733F2" w:rsidRDefault="009733F2" w:rsidP="009733F2">
            <w:pPr>
              <w:spacing w:after="0" w:line="240" w:lineRule="auto"/>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621" w:type="pct"/>
            <w:tcBorders>
              <w:top w:val="single" w:sz="4" w:space="0" w:color="auto"/>
              <w:left w:val="nil"/>
              <w:bottom w:val="single" w:sz="4" w:space="0" w:color="auto"/>
              <w:right w:val="nil"/>
            </w:tcBorders>
            <w:shd w:val="clear" w:color="auto" w:fill="D9D9D9" w:themeFill="background1" w:themeFillShade="D9"/>
            <w:noWrap/>
            <w:vAlign w:val="bottom"/>
            <w:hideMark/>
          </w:tcPr>
          <w:p w14:paraId="6A78D6C6" w14:textId="77777777" w:rsidR="009733F2" w:rsidRPr="009733F2" w:rsidRDefault="009733F2" w:rsidP="009733F2">
            <w:pPr>
              <w:spacing w:after="0" w:line="240" w:lineRule="auto"/>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357" w:type="pct"/>
            <w:tcBorders>
              <w:top w:val="single" w:sz="4" w:space="0" w:color="auto"/>
              <w:left w:val="nil"/>
              <w:bottom w:val="single" w:sz="4" w:space="0" w:color="auto"/>
              <w:right w:val="nil"/>
            </w:tcBorders>
            <w:shd w:val="clear" w:color="auto" w:fill="D9D9D9" w:themeFill="background1" w:themeFillShade="D9"/>
            <w:noWrap/>
            <w:vAlign w:val="bottom"/>
            <w:hideMark/>
          </w:tcPr>
          <w:p w14:paraId="38D44904" w14:textId="77777777" w:rsidR="009733F2" w:rsidRPr="009733F2" w:rsidRDefault="009733F2" w:rsidP="009733F2">
            <w:pPr>
              <w:spacing w:after="0" w:line="240" w:lineRule="auto"/>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386" w:type="pct"/>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4301E530" w14:textId="77777777" w:rsidR="009733F2" w:rsidRPr="009733F2" w:rsidRDefault="009733F2" w:rsidP="009733F2">
            <w:pPr>
              <w:spacing w:after="0" w:line="240" w:lineRule="auto"/>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r>
      <w:tr w:rsidR="00926C16" w:rsidRPr="009733F2" w14:paraId="52D9AF8E" w14:textId="77777777" w:rsidTr="4CB23653">
        <w:trPr>
          <w:trHeight w:val="300"/>
        </w:trPr>
        <w:tc>
          <w:tcPr>
            <w:tcW w:w="814" w:type="pct"/>
            <w:tcBorders>
              <w:top w:val="nil"/>
              <w:left w:val="single" w:sz="4" w:space="0" w:color="auto"/>
              <w:bottom w:val="nil"/>
              <w:right w:val="nil"/>
            </w:tcBorders>
            <w:noWrap/>
            <w:vAlign w:val="bottom"/>
            <w:hideMark/>
          </w:tcPr>
          <w:p w14:paraId="458164A4" w14:textId="77777777" w:rsidR="009733F2" w:rsidRPr="009733F2" w:rsidRDefault="009733F2" w:rsidP="009733F2">
            <w:pPr>
              <w:spacing w:after="0" w:line="240" w:lineRule="auto"/>
              <w:rPr>
                <w:rFonts w:ascii="Univers 57 Condensed" w:eastAsia="Times New Roman" w:hAnsi="Univers 57 Condensed" w:cs="Times New Roman"/>
                <w:b/>
                <w:bCs/>
                <w:color w:val="000000"/>
                <w:sz w:val="22"/>
                <w:szCs w:val="22"/>
              </w:rPr>
            </w:pPr>
            <w:r w:rsidRPr="009733F2">
              <w:rPr>
                <w:rFonts w:ascii="Calibri" w:eastAsia="Times New Roman" w:hAnsi="Calibri" w:cs="Calibri"/>
                <w:b/>
                <w:bCs/>
                <w:color w:val="000000"/>
                <w:sz w:val="22"/>
                <w:szCs w:val="22"/>
              </w:rPr>
              <w:t> </w:t>
            </w:r>
          </w:p>
        </w:tc>
        <w:tc>
          <w:tcPr>
            <w:tcW w:w="533" w:type="pct"/>
            <w:tcBorders>
              <w:top w:val="nil"/>
              <w:left w:val="single" w:sz="4" w:space="0" w:color="auto"/>
              <w:bottom w:val="single" w:sz="4" w:space="0" w:color="auto"/>
              <w:right w:val="single" w:sz="4" w:space="0" w:color="auto"/>
            </w:tcBorders>
            <w:noWrap/>
            <w:vAlign w:val="bottom"/>
            <w:hideMark/>
          </w:tcPr>
          <w:p w14:paraId="0FFEC95D" w14:textId="77777777" w:rsidR="009733F2" w:rsidRPr="009733F2" w:rsidRDefault="009733F2" w:rsidP="009733F2">
            <w:pPr>
              <w:spacing w:after="0" w:line="240" w:lineRule="auto"/>
              <w:rPr>
                <w:rFonts w:ascii="Univers 57 Condensed" w:eastAsia="Times New Roman" w:hAnsi="Univers 57 Condensed" w:cs="Times New Roman"/>
                <w:b/>
                <w:bCs/>
                <w:color w:val="000000"/>
                <w:sz w:val="22"/>
                <w:szCs w:val="22"/>
              </w:rPr>
            </w:pPr>
            <w:r w:rsidRPr="009733F2">
              <w:rPr>
                <w:rFonts w:ascii="Univers 57 Condensed" w:eastAsia="Times New Roman" w:hAnsi="Univers 57 Condensed" w:cs="Times New Roman"/>
                <w:b/>
                <w:bCs/>
                <w:color w:val="000000"/>
                <w:sz w:val="22"/>
                <w:szCs w:val="22"/>
              </w:rPr>
              <w:t>Nauru</w:t>
            </w:r>
          </w:p>
        </w:tc>
        <w:tc>
          <w:tcPr>
            <w:tcW w:w="378" w:type="pct"/>
            <w:tcBorders>
              <w:top w:val="nil"/>
              <w:left w:val="nil"/>
              <w:bottom w:val="nil"/>
              <w:right w:val="single" w:sz="4" w:space="0" w:color="auto"/>
            </w:tcBorders>
            <w:noWrap/>
            <w:vAlign w:val="bottom"/>
            <w:hideMark/>
          </w:tcPr>
          <w:p w14:paraId="3C7FA9D6" w14:textId="1DE5B2DD"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p>
        </w:tc>
        <w:tc>
          <w:tcPr>
            <w:tcW w:w="399" w:type="pct"/>
            <w:tcBorders>
              <w:top w:val="nil"/>
              <w:left w:val="nil"/>
              <w:bottom w:val="nil"/>
              <w:right w:val="nil"/>
            </w:tcBorders>
            <w:noWrap/>
            <w:vAlign w:val="bottom"/>
            <w:hideMark/>
          </w:tcPr>
          <w:p w14:paraId="08A3414D"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529" w:type="pct"/>
            <w:tcBorders>
              <w:top w:val="nil"/>
              <w:left w:val="single" w:sz="4" w:space="0" w:color="auto"/>
              <w:bottom w:val="nil"/>
              <w:right w:val="single" w:sz="4" w:space="0" w:color="auto"/>
            </w:tcBorders>
            <w:noWrap/>
            <w:vAlign w:val="bottom"/>
            <w:hideMark/>
          </w:tcPr>
          <w:p w14:paraId="7A0CD02E"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441" w:type="pct"/>
            <w:tcBorders>
              <w:top w:val="nil"/>
              <w:left w:val="nil"/>
              <w:bottom w:val="nil"/>
              <w:right w:val="nil"/>
            </w:tcBorders>
            <w:noWrap/>
            <w:vAlign w:val="bottom"/>
            <w:hideMark/>
          </w:tcPr>
          <w:p w14:paraId="589B712A"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542" w:type="pct"/>
            <w:tcBorders>
              <w:top w:val="nil"/>
              <w:left w:val="single" w:sz="4" w:space="0" w:color="auto"/>
              <w:bottom w:val="nil"/>
              <w:right w:val="single" w:sz="4" w:space="0" w:color="auto"/>
            </w:tcBorders>
            <w:noWrap/>
            <w:vAlign w:val="bottom"/>
            <w:hideMark/>
          </w:tcPr>
          <w:p w14:paraId="5E514D38"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621" w:type="pct"/>
            <w:tcBorders>
              <w:top w:val="nil"/>
              <w:left w:val="nil"/>
              <w:bottom w:val="nil"/>
              <w:right w:val="single" w:sz="4" w:space="0" w:color="auto"/>
            </w:tcBorders>
            <w:noWrap/>
            <w:vAlign w:val="bottom"/>
            <w:hideMark/>
          </w:tcPr>
          <w:p w14:paraId="700C4BEF"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357" w:type="pct"/>
            <w:tcBorders>
              <w:top w:val="nil"/>
              <w:left w:val="nil"/>
              <w:bottom w:val="nil"/>
              <w:right w:val="single" w:sz="4" w:space="0" w:color="auto"/>
            </w:tcBorders>
            <w:noWrap/>
            <w:vAlign w:val="bottom"/>
            <w:hideMark/>
          </w:tcPr>
          <w:p w14:paraId="22CA13ED"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386" w:type="pct"/>
            <w:tcBorders>
              <w:top w:val="nil"/>
              <w:left w:val="nil"/>
              <w:bottom w:val="nil"/>
              <w:right w:val="single" w:sz="4" w:space="0" w:color="auto"/>
            </w:tcBorders>
            <w:noWrap/>
            <w:vAlign w:val="bottom"/>
            <w:hideMark/>
          </w:tcPr>
          <w:p w14:paraId="3D6B2791"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r>
      <w:tr w:rsidR="00926C16" w:rsidRPr="009733F2" w14:paraId="55F38F54" w14:textId="77777777" w:rsidTr="4CB23653">
        <w:trPr>
          <w:trHeight w:val="300"/>
        </w:trPr>
        <w:tc>
          <w:tcPr>
            <w:tcW w:w="814" w:type="pct"/>
            <w:tcBorders>
              <w:top w:val="single" w:sz="4" w:space="0" w:color="auto"/>
              <w:left w:val="single" w:sz="4" w:space="0" w:color="auto"/>
              <w:bottom w:val="single" w:sz="4" w:space="0" w:color="auto"/>
              <w:right w:val="nil"/>
            </w:tcBorders>
            <w:shd w:val="clear" w:color="auto" w:fill="D9D9D9" w:themeFill="background1" w:themeFillShade="D9"/>
            <w:noWrap/>
            <w:vAlign w:val="bottom"/>
            <w:hideMark/>
          </w:tcPr>
          <w:p w14:paraId="0430B82D" w14:textId="77777777" w:rsidR="009733F2" w:rsidRPr="009733F2" w:rsidRDefault="009733F2" w:rsidP="009733F2">
            <w:pPr>
              <w:spacing w:after="0" w:line="240" w:lineRule="auto"/>
              <w:rPr>
                <w:rFonts w:ascii="Univers 57 Condensed" w:eastAsia="Times New Roman" w:hAnsi="Univers 57 Condensed" w:cs="Times New Roman"/>
                <w:b/>
                <w:bCs/>
                <w:sz w:val="22"/>
                <w:szCs w:val="22"/>
              </w:rPr>
            </w:pPr>
            <w:r w:rsidRPr="009733F2">
              <w:rPr>
                <w:rFonts w:ascii="Univers 57 Condensed" w:eastAsia="Times New Roman" w:hAnsi="Univers 57 Condensed" w:cs="Times New Roman"/>
                <w:b/>
                <w:bCs/>
                <w:sz w:val="22"/>
                <w:szCs w:val="22"/>
              </w:rPr>
              <w:t>Papua New Guinea (PNG)</w:t>
            </w:r>
          </w:p>
        </w:tc>
        <w:tc>
          <w:tcPr>
            <w:tcW w:w="533" w:type="pct"/>
            <w:tcBorders>
              <w:top w:val="nil"/>
              <w:left w:val="nil"/>
              <w:bottom w:val="single" w:sz="4" w:space="0" w:color="auto"/>
              <w:right w:val="nil"/>
            </w:tcBorders>
            <w:shd w:val="clear" w:color="auto" w:fill="D9D9D9" w:themeFill="background1" w:themeFillShade="D9"/>
            <w:noWrap/>
            <w:vAlign w:val="bottom"/>
            <w:hideMark/>
          </w:tcPr>
          <w:p w14:paraId="5C1644CD" w14:textId="77777777" w:rsidR="009733F2" w:rsidRPr="009733F2" w:rsidRDefault="009733F2" w:rsidP="009733F2">
            <w:pPr>
              <w:spacing w:after="0" w:line="240" w:lineRule="auto"/>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378" w:type="pct"/>
            <w:tcBorders>
              <w:top w:val="single" w:sz="4" w:space="0" w:color="auto"/>
              <w:left w:val="nil"/>
              <w:bottom w:val="single" w:sz="4" w:space="0" w:color="auto"/>
              <w:right w:val="nil"/>
            </w:tcBorders>
            <w:shd w:val="clear" w:color="auto" w:fill="D9D9D9" w:themeFill="background1" w:themeFillShade="D9"/>
            <w:noWrap/>
            <w:vAlign w:val="bottom"/>
            <w:hideMark/>
          </w:tcPr>
          <w:p w14:paraId="5D5A5DFD" w14:textId="77777777" w:rsidR="009733F2" w:rsidRPr="009733F2" w:rsidRDefault="009733F2" w:rsidP="009733F2">
            <w:pPr>
              <w:spacing w:after="0" w:line="240" w:lineRule="auto"/>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399" w:type="pct"/>
            <w:tcBorders>
              <w:top w:val="single" w:sz="4" w:space="0" w:color="auto"/>
              <w:left w:val="nil"/>
              <w:bottom w:val="single" w:sz="4" w:space="0" w:color="auto"/>
              <w:right w:val="nil"/>
            </w:tcBorders>
            <w:shd w:val="clear" w:color="auto" w:fill="D9D9D9" w:themeFill="background1" w:themeFillShade="D9"/>
            <w:noWrap/>
            <w:vAlign w:val="bottom"/>
            <w:hideMark/>
          </w:tcPr>
          <w:p w14:paraId="6ED493DD" w14:textId="77777777" w:rsidR="009733F2" w:rsidRPr="009733F2" w:rsidRDefault="009733F2" w:rsidP="009733F2">
            <w:pPr>
              <w:spacing w:after="0" w:line="240" w:lineRule="auto"/>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529" w:type="pct"/>
            <w:tcBorders>
              <w:top w:val="single" w:sz="4" w:space="0" w:color="auto"/>
              <w:left w:val="nil"/>
              <w:bottom w:val="single" w:sz="4" w:space="0" w:color="auto"/>
              <w:right w:val="nil"/>
            </w:tcBorders>
            <w:shd w:val="clear" w:color="auto" w:fill="D9D9D9" w:themeFill="background1" w:themeFillShade="D9"/>
            <w:noWrap/>
            <w:vAlign w:val="bottom"/>
            <w:hideMark/>
          </w:tcPr>
          <w:p w14:paraId="6C398722" w14:textId="77777777" w:rsidR="009733F2" w:rsidRPr="009733F2" w:rsidRDefault="009733F2" w:rsidP="009733F2">
            <w:pPr>
              <w:spacing w:after="0" w:line="240" w:lineRule="auto"/>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441" w:type="pct"/>
            <w:tcBorders>
              <w:top w:val="single" w:sz="4" w:space="0" w:color="auto"/>
              <w:left w:val="nil"/>
              <w:bottom w:val="single" w:sz="4" w:space="0" w:color="auto"/>
              <w:right w:val="nil"/>
            </w:tcBorders>
            <w:shd w:val="clear" w:color="auto" w:fill="D9D9D9" w:themeFill="background1" w:themeFillShade="D9"/>
            <w:noWrap/>
            <w:vAlign w:val="bottom"/>
            <w:hideMark/>
          </w:tcPr>
          <w:p w14:paraId="76021B4F" w14:textId="77777777" w:rsidR="009733F2" w:rsidRPr="009733F2" w:rsidRDefault="009733F2" w:rsidP="009733F2">
            <w:pPr>
              <w:spacing w:after="0" w:line="240" w:lineRule="auto"/>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542" w:type="pct"/>
            <w:tcBorders>
              <w:top w:val="single" w:sz="4" w:space="0" w:color="auto"/>
              <w:left w:val="nil"/>
              <w:bottom w:val="single" w:sz="4" w:space="0" w:color="auto"/>
              <w:right w:val="nil"/>
            </w:tcBorders>
            <w:shd w:val="clear" w:color="auto" w:fill="D9D9D9" w:themeFill="background1" w:themeFillShade="D9"/>
            <w:noWrap/>
            <w:vAlign w:val="bottom"/>
            <w:hideMark/>
          </w:tcPr>
          <w:p w14:paraId="49DE9E8F" w14:textId="77777777" w:rsidR="009733F2" w:rsidRPr="009733F2" w:rsidRDefault="009733F2" w:rsidP="009733F2">
            <w:pPr>
              <w:spacing w:after="0" w:line="240" w:lineRule="auto"/>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621" w:type="pct"/>
            <w:tcBorders>
              <w:top w:val="single" w:sz="4" w:space="0" w:color="auto"/>
              <w:left w:val="nil"/>
              <w:bottom w:val="single" w:sz="4" w:space="0" w:color="auto"/>
              <w:right w:val="nil"/>
            </w:tcBorders>
            <w:shd w:val="clear" w:color="auto" w:fill="D9D9D9" w:themeFill="background1" w:themeFillShade="D9"/>
            <w:noWrap/>
            <w:vAlign w:val="bottom"/>
            <w:hideMark/>
          </w:tcPr>
          <w:p w14:paraId="7C75AD56" w14:textId="77777777" w:rsidR="009733F2" w:rsidRPr="009733F2" w:rsidRDefault="009733F2" w:rsidP="009733F2">
            <w:pPr>
              <w:spacing w:after="0" w:line="240" w:lineRule="auto"/>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357" w:type="pct"/>
            <w:tcBorders>
              <w:top w:val="single" w:sz="4" w:space="0" w:color="auto"/>
              <w:left w:val="nil"/>
              <w:bottom w:val="single" w:sz="4" w:space="0" w:color="auto"/>
              <w:right w:val="nil"/>
            </w:tcBorders>
            <w:shd w:val="clear" w:color="auto" w:fill="D9D9D9" w:themeFill="background1" w:themeFillShade="D9"/>
            <w:noWrap/>
            <w:vAlign w:val="bottom"/>
            <w:hideMark/>
          </w:tcPr>
          <w:p w14:paraId="4987B0D5" w14:textId="77777777" w:rsidR="009733F2" w:rsidRPr="009733F2" w:rsidRDefault="009733F2" w:rsidP="009733F2">
            <w:pPr>
              <w:spacing w:after="0" w:line="240" w:lineRule="auto"/>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386" w:type="pct"/>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597A721" w14:textId="77777777" w:rsidR="009733F2" w:rsidRPr="009733F2" w:rsidRDefault="009733F2" w:rsidP="009733F2">
            <w:pPr>
              <w:spacing w:after="0" w:line="240" w:lineRule="auto"/>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r>
      <w:tr w:rsidR="00926C16" w:rsidRPr="009733F2" w14:paraId="7B9C9858" w14:textId="77777777" w:rsidTr="4CB23653">
        <w:trPr>
          <w:trHeight w:val="300"/>
        </w:trPr>
        <w:tc>
          <w:tcPr>
            <w:tcW w:w="814" w:type="pct"/>
            <w:tcBorders>
              <w:top w:val="nil"/>
              <w:left w:val="single" w:sz="4" w:space="0" w:color="auto"/>
              <w:bottom w:val="nil"/>
              <w:right w:val="nil"/>
            </w:tcBorders>
            <w:noWrap/>
            <w:vAlign w:val="bottom"/>
            <w:hideMark/>
          </w:tcPr>
          <w:p w14:paraId="7BCE6A8B" w14:textId="77777777" w:rsidR="009733F2" w:rsidRPr="009733F2" w:rsidRDefault="009733F2" w:rsidP="009733F2">
            <w:pPr>
              <w:spacing w:after="0" w:line="240" w:lineRule="auto"/>
              <w:rPr>
                <w:rFonts w:ascii="Univers 57 Condensed" w:eastAsia="Times New Roman" w:hAnsi="Univers 57 Condensed" w:cs="Times New Roman"/>
                <w:b/>
                <w:bCs/>
                <w:sz w:val="22"/>
                <w:szCs w:val="22"/>
              </w:rPr>
            </w:pPr>
            <w:r w:rsidRPr="009733F2">
              <w:rPr>
                <w:rFonts w:ascii="Calibri" w:eastAsia="Times New Roman" w:hAnsi="Calibri" w:cs="Calibri"/>
                <w:b/>
                <w:bCs/>
                <w:sz w:val="22"/>
                <w:szCs w:val="22"/>
              </w:rPr>
              <w:t> </w:t>
            </w:r>
          </w:p>
        </w:tc>
        <w:tc>
          <w:tcPr>
            <w:tcW w:w="533" w:type="pct"/>
            <w:tcBorders>
              <w:top w:val="nil"/>
              <w:left w:val="single" w:sz="4" w:space="0" w:color="auto"/>
              <w:bottom w:val="single" w:sz="4" w:space="0" w:color="auto"/>
              <w:right w:val="single" w:sz="4" w:space="0" w:color="auto"/>
            </w:tcBorders>
            <w:noWrap/>
            <w:vAlign w:val="bottom"/>
            <w:hideMark/>
          </w:tcPr>
          <w:p w14:paraId="38DA5F51" w14:textId="77777777" w:rsidR="009733F2" w:rsidRPr="009733F2" w:rsidRDefault="009733F2" w:rsidP="009733F2">
            <w:pPr>
              <w:spacing w:after="0" w:line="240" w:lineRule="auto"/>
              <w:rPr>
                <w:rFonts w:ascii="Univers 57 Condensed" w:eastAsia="Times New Roman" w:hAnsi="Univers 57 Condensed" w:cs="Times New Roman"/>
                <w:b/>
                <w:bCs/>
                <w:color w:val="000000"/>
                <w:sz w:val="22"/>
                <w:szCs w:val="22"/>
              </w:rPr>
            </w:pPr>
            <w:r w:rsidRPr="009733F2">
              <w:rPr>
                <w:rFonts w:ascii="Univers 57 Condensed" w:eastAsia="Times New Roman" w:hAnsi="Univers 57 Condensed" w:cs="Times New Roman"/>
                <w:b/>
                <w:bCs/>
                <w:color w:val="000000"/>
                <w:sz w:val="22"/>
                <w:szCs w:val="22"/>
              </w:rPr>
              <w:t>Port Moresby</w:t>
            </w:r>
          </w:p>
        </w:tc>
        <w:tc>
          <w:tcPr>
            <w:tcW w:w="378" w:type="pct"/>
            <w:tcBorders>
              <w:top w:val="nil"/>
              <w:left w:val="nil"/>
              <w:bottom w:val="nil"/>
              <w:right w:val="single" w:sz="4" w:space="0" w:color="auto"/>
            </w:tcBorders>
            <w:noWrap/>
            <w:vAlign w:val="bottom"/>
            <w:hideMark/>
          </w:tcPr>
          <w:p w14:paraId="2C8773FA"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399" w:type="pct"/>
            <w:tcBorders>
              <w:top w:val="nil"/>
              <w:left w:val="nil"/>
              <w:bottom w:val="nil"/>
              <w:right w:val="nil"/>
            </w:tcBorders>
            <w:noWrap/>
            <w:vAlign w:val="bottom"/>
            <w:hideMark/>
          </w:tcPr>
          <w:p w14:paraId="63791795"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529" w:type="pct"/>
            <w:tcBorders>
              <w:top w:val="nil"/>
              <w:left w:val="single" w:sz="4" w:space="0" w:color="auto"/>
              <w:bottom w:val="nil"/>
              <w:right w:val="single" w:sz="4" w:space="0" w:color="auto"/>
            </w:tcBorders>
            <w:noWrap/>
            <w:vAlign w:val="bottom"/>
            <w:hideMark/>
          </w:tcPr>
          <w:p w14:paraId="378AA032"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441" w:type="pct"/>
            <w:tcBorders>
              <w:top w:val="nil"/>
              <w:left w:val="nil"/>
              <w:bottom w:val="nil"/>
              <w:right w:val="nil"/>
            </w:tcBorders>
            <w:noWrap/>
            <w:vAlign w:val="bottom"/>
            <w:hideMark/>
          </w:tcPr>
          <w:p w14:paraId="5C307BAC"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542" w:type="pct"/>
            <w:tcBorders>
              <w:top w:val="nil"/>
              <w:left w:val="single" w:sz="4" w:space="0" w:color="auto"/>
              <w:bottom w:val="nil"/>
              <w:right w:val="single" w:sz="4" w:space="0" w:color="auto"/>
            </w:tcBorders>
            <w:noWrap/>
            <w:vAlign w:val="bottom"/>
            <w:hideMark/>
          </w:tcPr>
          <w:p w14:paraId="4B0569B3"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621" w:type="pct"/>
            <w:tcBorders>
              <w:top w:val="nil"/>
              <w:left w:val="nil"/>
              <w:bottom w:val="nil"/>
              <w:right w:val="single" w:sz="4" w:space="0" w:color="auto"/>
            </w:tcBorders>
            <w:noWrap/>
            <w:vAlign w:val="bottom"/>
            <w:hideMark/>
          </w:tcPr>
          <w:p w14:paraId="29B4C74E"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357" w:type="pct"/>
            <w:tcBorders>
              <w:top w:val="nil"/>
              <w:left w:val="nil"/>
              <w:bottom w:val="nil"/>
              <w:right w:val="single" w:sz="4" w:space="0" w:color="auto"/>
            </w:tcBorders>
            <w:noWrap/>
            <w:vAlign w:val="bottom"/>
            <w:hideMark/>
          </w:tcPr>
          <w:p w14:paraId="174EB58F"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386" w:type="pct"/>
            <w:tcBorders>
              <w:top w:val="nil"/>
              <w:left w:val="nil"/>
              <w:bottom w:val="nil"/>
              <w:right w:val="single" w:sz="4" w:space="0" w:color="auto"/>
            </w:tcBorders>
            <w:noWrap/>
            <w:vAlign w:val="bottom"/>
            <w:hideMark/>
          </w:tcPr>
          <w:p w14:paraId="4197E798"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r>
      <w:tr w:rsidR="00926C16" w:rsidRPr="009733F2" w14:paraId="54D5EF93" w14:textId="77777777" w:rsidTr="4CB23653">
        <w:trPr>
          <w:trHeight w:val="300"/>
        </w:trPr>
        <w:tc>
          <w:tcPr>
            <w:tcW w:w="814" w:type="pct"/>
            <w:tcBorders>
              <w:top w:val="single" w:sz="4" w:space="0" w:color="auto"/>
              <w:left w:val="single" w:sz="4" w:space="0" w:color="auto"/>
              <w:bottom w:val="single" w:sz="4" w:space="0" w:color="auto"/>
              <w:right w:val="nil"/>
            </w:tcBorders>
            <w:shd w:val="clear" w:color="auto" w:fill="D9D9D9" w:themeFill="background1" w:themeFillShade="D9"/>
            <w:noWrap/>
            <w:vAlign w:val="bottom"/>
            <w:hideMark/>
          </w:tcPr>
          <w:p w14:paraId="418D57E9" w14:textId="77777777" w:rsidR="009733F2" w:rsidRPr="009733F2" w:rsidRDefault="009733F2" w:rsidP="009733F2">
            <w:pPr>
              <w:spacing w:after="0" w:line="240" w:lineRule="auto"/>
              <w:rPr>
                <w:rFonts w:ascii="Univers 57 Condensed" w:eastAsia="Times New Roman" w:hAnsi="Univers 57 Condensed" w:cs="Times New Roman"/>
                <w:b/>
                <w:bCs/>
                <w:color w:val="000000"/>
                <w:sz w:val="22"/>
                <w:szCs w:val="22"/>
              </w:rPr>
            </w:pPr>
            <w:r w:rsidRPr="009733F2">
              <w:rPr>
                <w:rFonts w:ascii="Univers 57 Condensed" w:eastAsia="Times New Roman" w:hAnsi="Univers 57 Condensed" w:cs="Times New Roman"/>
                <w:b/>
                <w:bCs/>
                <w:color w:val="000000"/>
                <w:sz w:val="22"/>
                <w:szCs w:val="22"/>
              </w:rPr>
              <w:t>Republic of the Marshall Islands (RMI)</w:t>
            </w:r>
          </w:p>
        </w:tc>
        <w:tc>
          <w:tcPr>
            <w:tcW w:w="533" w:type="pct"/>
            <w:tcBorders>
              <w:top w:val="nil"/>
              <w:left w:val="nil"/>
              <w:bottom w:val="single" w:sz="4" w:space="0" w:color="auto"/>
              <w:right w:val="nil"/>
            </w:tcBorders>
            <w:shd w:val="clear" w:color="auto" w:fill="D9D9D9" w:themeFill="background1" w:themeFillShade="D9"/>
            <w:noWrap/>
            <w:vAlign w:val="bottom"/>
            <w:hideMark/>
          </w:tcPr>
          <w:p w14:paraId="66726DDE" w14:textId="77777777" w:rsidR="009733F2" w:rsidRPr="009733F2" w:rsidRDefault="009733F2" w:rsidP="009733F2">
            <w:pPr>
              <w:spacing w:after="0" w:line="240" w:lineRule="auto"/>
              <w:rPr>
                <w:rFonts w:ascii="Univers 57 Condensed" w:eastAsia="Times New Roman" w:hAnsi="Univers 57 Condensed" w:cs="Times New Roman"/>
                <w:b/>
                <w:bCs/>
                <w:color w:val="000000"/>
                <w:sz w:val="22"/>
                <w:szCs w:val="22"/>
              </w:rPr>
            </w:pPr>
            <w:r w:rsidRPr="009733F2">
              <w:rPr>
                <w:rFonts w:ascii="Calibri" w:eastAsia="Times New Roman" w:hAnsi="Calibri" w:cs="Calibri"/>
                <w:b/>
                <w:bCs/>
                <w:color w:val="000000"/>
                <w:sz w:val="22"/>
                <w:szCs w:val="22"/>
              </w:rPr>
              <w:t> </w:t>
            </w:r>
          </w:p>
        </w:tc>
        <w:tc>
          <w:tcPr>
            <w:tcW w:w="378" w:type="pct"/>
            <w:tcBorders>
              <w:top w:val="single" w:sz="4" w:space="0" w:color="auto"/>
              <w:left w:val="nil"/>
              <w:bottom w:val="single" w:sz="4" w:space="0" w:color="auto"/>
              <w:right w:val="nil"/>
            </w:tcBorders>
            <w:shd w:val="clear" w:color="auto" w:fill="D9D9D9" w:themeFill="background1" w:themeFillShade="D9"/>
            <w:noWrap/>
            <w:vAlign w:val="bottom"/>
            <w:hideMark/>
          </w:tcPr>
          <w:p w14:paraId="4EEDD0E3" w14:textId="77777777" w:rsidR="009733F2" w:rsidRPr="009733F2" w:rsidRDefault="009733F2" w:rsidP="009733F2">
            <w:pPr>
              <w:spacing w:after="0" w:line="240" w:lineRule="auto"/>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399" w:type="pct"/>
            <w:tcBorders>
              <w:top w:val="single" w:sz="4" w:space="0" w:color="auto"/>
              <w:left w:val="nil"/>
              <w:bottom w:val="single" w:sz="4" w:space="0" w:color="auto"/>
              <w:right w:val="nil"/>
            </w:tcBorders>
            <w:shd w:val="clear" w:color="auto" w:fill="D9D9D9" w:themeFill="background1" w:themeFillShade="D9"/>
            <w:noWrap/>
            <w:vAlign w:val="bottom"/>
            <w:hideMark/>
          </w:tcPr>
          <w:p w14:paraId="14737C3E" w14:textId="77777777" w:rsidR="009733F2" w:rsidRPr="009733F2" w:rsidRDefault="009733F2" w:rsidP="009733F2">
            <w:pPr>
              <w:spacing w:after="0" w:line="240" w:lineRule="auto"/>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529" w:type="pct"/>
            <w:tcBorders>
              <w:top w:val="single" w:sz="4" w:space="0" w:color="auto"/>
              <w:left w:val="nil"/>
              <w:bottom w:val="single" w:sz="4" w:space="0" w:color="auto"/>
              <w:right w:val="nil"/>
            </w:tcBorders>
            <w:shd w:val="clear" w:color="auto" w:fill="D9D9D9" w:themeFill="background1" w:themeFillShade="D9"/>
            <w:noWrap/>
            <w:vAlign w:val="bottom"/>
            <w:hideMark/>
          </w:tcPr>
          <w:p w14:paraId="2D721FF4" w14:textId="77777777" w:rsidR="009733F2" w:rsidRPr="009733F2" w:rsidRDefault="009733F2" w:rsidP="009733F2">
            <w:pPr>
              <w:spacing w:after="0" w:line="240" w:lineRule="auto"/>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441" w:type="pct"/>
            <w:tcBorders>
              <w:top w:val="single" w:sz="4" w:space="0" w:color="auto"/>
              <w:left w:val="nil"/>
              <w:bottom w:val="single" w:sz="4" w:space="0" w:color="auto"/>
              <w:right w:val="nil"/>
            </w:tcBorders>
            <w:shd w:val="clear" w:color="auto" w:fill="D9D9D9" w:themeFill="background1" w:themeFillShade="D9"/>
            <w:noWrap/>
            <w:vAlign w:val="bottom"/>
            <w:hideMark/>
          </w:tcPr>
          <w:p w14:paraId="0E40ADC8" w14:textId="77777777" w:rsidR="009733F2" w:rsidRPr="009733F2" w:rsidRDefault="009733F2" w:rsidP="009733F2">
            <w:pPr>
              <w:spacing w:after="0" w:line="240" w:lineRule="auto"/>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542" w:type="pct"/>
            <w:tcBorders>
              <w:top w:val="single" w:sz="4" w:space="0" w:color="auto"/>
              <w:left w:val="nil"/>
              <w:bottom w:val="single" w:sz="4" w:space="0" w:color="auto"/>
              <w:right w:val="nil"/>
            </w:tcBorders>
            <w:shd w:val="clear" w:color="auto" w:fill="D9D9D9" w:themeFill="background1" w:themeFillShade="D9"/>
            <w:noWrap/>
            <w:vAlign w:val="bottom"/>
            <w:hideMark/>
          </w:tcPr>
          <w:p w14:paraId="625798D6" w14:textId="77777777" w:rsidR="009733F2" w:rsidRPr="009733F2" w:rsidRDefault="009733F2" w:rsidP="009733F2">
            <w:pPr>
              <w:spacing w:after="0" w:line="240" w:lineRule="auto"/>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621" w:type="pct"/>
            <w:tcBorders>
              <w:top w:val="single" w:sz="4" w:space="0" w:color="auto"/>
              <w:left w:val="nil"/>
              <w:bottom w:val="single" w:sz="4" w:space="0" w:color="auto"/>
              <w:right w:val="nil"/>
            </w:tcBorders>
            <w:shd w:val="clear" w:color="auto" w:fill="D9D9D9" w:themeFill="background1" w:themeFillShade="D9"/>
            <w:noWrap/>
            <w:vAlign w:val="bottom"/>
            <w:hideMark/>
          </w:tcPr>
          <w:p w14:paraId="558F3902" w14:textId="77777777" w:rsidR="009733F2" w:rsidRPr="009733F2" w:rsidRDefault="009733F2" w:rsidP="009733F2">
            <w:pPr>
              <w:spacing w:after="0" w:line="240" w:lineRule="auto"/>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357" w:type="pct"/>
            <w:tcBorders>
              <w:top w:val="single" w:sz="4" w:space="0" w:color="auto"/>
              <w:left w:val="nil"/>
              <w:bottom w:val="single" w:sz="4" w:space="0" w:color="auto"/>
              <w:right w:val="nil"/>
            </w:tcBorders>
            <w:shd w:val="clear" w:color="auto" w:fill="D9D9D9" w:themeFill="background1" w:themeFillShade="D9"/>
            <w:noWrap/>
            <w:vAlign w:val="bottom"/>
            <w:hideMark/>
          </w:tcPr>
          <w:p w14:paraId="728AF7D0" w14:textId="77777777" w:rsidR="009733F2" w:rsidRPr="009733F2" w:rsidRDefault="009733F2" w:rsidP="009733F2">
            <w:pPr>
              <w:spacing w:after="0" w:line="240" w:lineRule="auto"/>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386" w:type="pct"/>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5851CA97" w14:textId="77777777" w:rsidR="009733F2" w:rsidRPr="009733F2" w:rsidRDefault="009733F2" w:rsidP="009733F2">
            <w:pPr>
              <w:spacing w:after="0" w:line="240" w:lineRule="auto"/>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r>
      <w:tr w:rsidR="00926C16" w:rsidRPr="009733F2" w14:paraId="147C9259" w14:textId="77777777" w:rsidTr="4CB23653">
        <w:trPr>
          <w:trHeight w:val="300"/>
        </w:trPr>
        <w:tc>
          <w:tcPr>
            <w:tcW w:w="814" w:type="pct"/>
            <w:tcBorders>
              <w:top w:val="nil"/>
              <w:left w:val="single" w:sz="4" w:space="0" w:color="auto"/>
              <w:bottom w:val="nil"/>
              <w:right w:val="nil"/>
            </w:tcBorders>
            <w:noWrap/>
            <w:vAlign w:val="bottom"/>
            <w:hideMark/>
          </w:tcPr>
          <w:p w14:paraId="2E54C9BF" w14:textId="77777777" w:rsidR="009733F2" w:rsidRPr="009733F2" w:rsidRDefault="009733F2" w:rsidP="009733F2">
            <w:pPr>
              <w:spacing w:after="0" w:line="240" w:lineRule="auto"/>
              <w:rPr>
                <w:rFonts w:ascii="Univers 57 Condensed" w:eastAsia="Times New Roman" w:hAnsi="Univers 57 Condensed" w:cs="Times New Roman"/>
                <w:b/>
                <w:bCs/>
                <w:color w:val="000000"/>
                <w:sz w:val="22"/>
                <w:szCs w:val="22"/>
              </w:rPr>
            </w:pPr>
            <w:r w:rsidRPr="009733F2">
              <w:rPr>
                <w:rFonts w:ascii="Calibri" w:eastAsia="Times New Roman" w:hAnsi="Calibri" w:cs="Calibri"/>
                <w:b/>
                <w:bCs/>
                <w:color w:val="000000"/>
                <w:sz w:val="22"/>
                <w:szCs w:val="22"/>
              </w:rPr>
              <w:t> </w:t>
            </w:r>
          </w:p>
        </w:tc>
        <w:tc>
          <w:tcPr>
            <w:tcW w:w="533" w:type="pct"/>
            <w:tcBorders>
              <w:top w:val="nil"/>
              <w:left w:val="single" w:sz="4" w:space="0" w:color="auto"/>
              <w:bottom w:val="single" w:sz="4" w:space="0" w:color="auto"/>
              <w:right w:val="single" w:sz="4" w:space="0" w:color="auto"/>
            </w:tcBorders>
            <w:noWrap/>
            <w:vAlign w:val="bottom"/>
            <w:hideMark/>
          </w:tcPr>
          <w:p w14:paraId="05CC7B15" w14:textId="77777777" w:rsidR="009733F2" w:rsidRPr="009733F2" w:rsidRDefault="009733F2" w:rsidP="009733F2">
            <w:pPr>
              <w:spacing w:after="0" w:line="240" w:lineRule="auto"/>
              <w:rPr>
                <w:rFonts w:ascii="Univers 57 Condensed" w:eastAsia="Times New Roman" w:hAnsi="Univers 57 Condensed" w:cs="Times New Roman"/>
                <w:b/>
                <w:bCs/>
                <w:color w:val="000000"/>
                <w:sz w:val="22"/>
                <w:szCs w:val="22"/>
              </w:rPr>
            </w:pPr>
            <w:r w:rsidRPr="009733F2">
              <w:rPr>
                <w:rFonts w:ascii="Univers 57 Condensed" w:eastAsia="Times New Roman" w:hAnsi="Univers 57 Condensed" w:cs="Times New Roman"/>
                <w:b/>
                <w:bCs/>
                <w:color w:val="000000"/>
                <w:sz w:val="22"/>
                <w:szCs w:val="22"/>
              </w:rPr>
              <w:t>Majuro</w:t>
            </w:r>
          </w:p>
        </w:tc>
        <w:tc>
          <w:tcPr>
            <w:tcW w:w="378" w:type="pct"/>
            <w:tcBorders>
              <w:top w:val="nil"/>
              <w:left w:val="nil"/>
              <w:bottom w:val="nil"/>
              <w:right w:val="single" w:sz="4" w:space="0" w:color="auto"/>
            </w:tcBorders>
            <w:noWrap/>
            <w:vAlign w:val="bottom"/>
            <w:hideMark/>
          </w:tcPr>
          <w:p w14:paraId="109A8E2D" w14:textId="71116AF5"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p>
        </w:tc>
        <w:tc>
          <w:tcPr>
            <w:tcW w:w="399" w:type="pct"/>
            <w:tcBorders>
              <w:top w:val="nil"/>
              <w:left w:val="nil"/>
              <w:bottom w:val="nil"/>
              <w:right w:val="nil"/>
            </w:tcBorders>
            <w:noWrap/>
            <w:vAlign w:val="bottom"/>
            <w:hideMark/>
          </w:tcPr>
          <w:p w14:paraId="144D1B02"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529" w:type="pct"/>
            <w:tcBorders>
              <w:top w:val="nil"/>
              <w:left w:val="single" w:sz="4" w:space="0" w:color="auto"/>
              <w:bottom w:val="nil"/>
              <w:right w:val="single" w:sz="4" w:space="0" w:color="auto"/>
            </w:tcBorders>
            <w:noWrap/>
            <w:vAlign w:val="bottom"/>
            <w:hideMark/>
          </w:tcPr>
          <w:p w14:paraId="6D11DA37"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441" w:type="pct"/>
            <w:tcBorders>
              <w:top w:val="nil"/>
              <w:left w:val="nil"/>
              <w:bottom w:val="nil"/>
              <w:right w:val="nil"/>
            </w:tcBorders>
            <w:noWrap/>
            <w:vAlign w:val="bottom"/>
            <w:hideMark/>
          </w:tcPr>
          <w:p w14:paraId="60ED5C8D"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542" w:type="pct"/>
            <w:tcBorders>
              <w:top w:val="nil"/>
              <w:left w:val="single" w:sz="4" w:space="0" w:color="auto"/>
              <w:bottom w:val="nil"/>
              <w:right w:val="single" w:sz="4" w:space="0" w:color="auto"/>
            </w:tcBorders>
            <w:noWrap/>
            <w:vAlign w:val="bottom"/>
            <w:hideMark/>
          </w:tcPr>
          <w:p w14:paraId="0D046EB5"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621" w:type="pct"/>
            <w:tcBorders>
              <w:top w:val="nil"/>
              <w:left w:val="nil"/>
              <w:bottom w:val="nil"/>
              <w:right w:val="single" w:sz="4" w:space="0" w:color="auto"/>
            </w:tcBorders>
            <w:noWrap/>
            <w:vAlign w:val="bottom"/>
            <w:hideMark/>
          </w:tcPr>
          <w:p w14:paraId="7E17D54A"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357" w:type="pct"/>
            <w:tcBorders>
              <w:top w:val="nil"/>
              <w:left w:val="nil"/>
              <w:bottom w:val="nil"/>
              <w:right w:val="single" w:sz="4" w:space="0" w:color="auto"/>
            </w:tcBorders>
            <w:noWrap/>
            <w:vAlign w:val="bottom"/>
            <w:hideMark/>
          </w:tcPr>
          <w:p w14:paraId="735E7948"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386" w:type="pct"/>
            <w:tcBorders>
              <w:top w:val="nil"/>
              <w:left w:val="nil"/>
              <w:bottom w:val="nil"/>
              <w:right w:val="single" w:sz="4" w:space="0" w:color="auto"/>
            </w:tcBorders>
            <w:noWrap/>
            <w:vAlign w:val="bottom"/>
            <w:hideMark/>
          </w:tcPr>
          <w:p w14:paraId="0A5FB3AC"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r>
      <w:tr w:rsidR="00926C16" w:rsidRPr="009733F2" w14:paraId="4974E1E1" w14:textId="77777777" w:rsidTr="4CB23653">
        <w:trPr>
          <w:trHeight w:val="300"/>
        </w:trPr>
        <w:tc>
          <w:tcPr>
            <w:tcW w:w="814" w:type="pct"/>
            <w:tcBorders>
              <w:top w:val="single" w:sz="4" w:space="0" w:color="auto"/>
              <w:left w:val="single" w:sz="4" w:space="0" w:color="auto"/>
              <w:bottom w:val="single" w:sz="4" w:space="0" w:color="auto"/>
              <w:right w:val="nil"/>
            </w:tcBorders>
            <w:shd w:val="clear" w:color="auto" w:fill="D9D9D9" w:themeFill="background1" w:themeFillShade="D9"/>
            <w:noWrap/>
            <w:vAlign w:val="bottom"/>
            <w:hideMark/>
          </w:tcPr>
          <w:p w14:paraId="0A07110A" w14:textId="77777777" w:rsidR="009733F2" w:rsidRPr="009733F2" w:rsidRDefault="009733F2" w:rsidP="009733F2">
            <w:pPr>
              <w:spacing w:after="0" w:line="240" w:lineRule="auto"/>
              <w:rPr>
                <w:rFonts w:ascii="Univers 57 Condensed" w:eastAsia="Times New Roman" w:hAnsi="Univers 57 Condensed" w:cs="Times New Roman"/>
                <w:b/>
                <w:bCs/>
                <w:color w:val="000000"/>
                <w:sz w:val="22"/>
                <w:szCs w:val="22"/>
              </w:rPr>
            </w:pPr>
            <w:r w:rsidRPr="009733F2">
              <w:rPr>
                <w:rFonts w:ascii="Univers 57 Condensed" w:eastAsia="Times New Roman" w:hAnsi="Univers 57 Condensed" w:cs="Times New Roman"/>
                <w:b/>
                <w:bCs/>
                <w:color w:val="000000"/>
                <w:sz w:val="22"/>
                <w:szCs w:val="22"/>
              </w:rPr>
              <w:t>Solomon Islands (SOL)</w:t>
            </w:r>
          </w:p>
        </w:tc>
        <w:tc>
          <w:tcPr>
            <w:tcW w:w="533" w:type="pct"/>
            <w:tcBorders>
              <w:top w:val="nil"/>
              <w:left w:val="nil"/>
              <w:bottom w:val="single" w:sz="4" w:space="0" w:color="auto"/>
              <w:right w:val="nil"/>
            </w:tcBorders>
            <w:shd w:val="clear" w:color="auto" w:fill="D9D9D9" w:themeFill="background1" w:themeFillShade="D9"/>
            <w:noWrap/>
            <w:vAlign w:val="bottom"/>
            <w:hideMark/>
          </w:tcPr>
          <w:p w14:paraId="4C2562A8" w14:textId="77777777" w:rsidR="009733F2" w:rsidRPr="009733F2" w:rsidRDefault="009733F2" w:rsidP="009733F2">
            <w:pPr>
              <w:spacing w:after="0" w:line="240" w:lineRule="auto"/>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378" w:type="pct"/>
            <w:tcBorders>
              <w:top w:val="single" w:sz="4" w:space="0" w:color="auto"/>
              <w:left w:val="nil"/>
              <w:bottom w:val="single" w:sz="4" w:space="0" w:color="auto"/>
              <w:right w:val="nil"/>
            </w:tcBorders>
            <w:shd w:val="clear" w:color="auto" w:fill="D9D9D9" w:themeFill="background1" w:themeFillShade="D9"/>
            <w:noWrap/>
            <w:vAlign w:val="bottom"/>
            <w:hideMark/>
          </w:tcPr>
          <w:p w14:paraId="51469F72" w14:textId="77777777" w:rsidR="009733F2" w:rsidRPr="009733F2" w:rsidRDefault="009733F2" w:rsidP="009733F2">
            <w:pPr>
              <w:spacing w:after="0" w:line="240" w:lineRule="auto"/>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399" w:type="pct"/>
            <w:tcBorders>
              <w:top w:val="single" w:sz="4" w:space="0" w:color="auto"/>
              <w:left w:val="nil"/>
              <w:bottom w:val="single" w:sz="4" w:space="0" w:color="auto"/>
              <w:right w:val="nil"/>
            </w:tcBorders>
            <w:shd w:val="clear" w:color="auto" w:fill="D9D9D9" w:themeFill="background1" w:themeFillShade="D9"/>
            <w:noWrap/>
            <w:vAlign w:val="bottom"/>
            <w:hideMark/>
          </w:tcPr>
          <w:p w14:paraId="1D5FBF25" w14:textId="77777777" w:rsidR="009733F2" w:rsidRPr="009733F2" w:rsidRDefault="009733F2" w:rsidP="009733F2">
            <w:pPr>
              <w:spacing w:after="0" w:line="240" w:lineRule="auto"/>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529" w:type="pct"/>
            <w:tcBorders>
              <w:top w:val="single" w:sz="4" w:space="0" w:color="auto"/>
              <w:left w:val="nil"/>
              <w:bottom w:val="single" w:sz="4" w:space="0" w:color="auto"/>
              <w:right w:val="nil"/>
            </w:tcBorders>
            <w:shd w:val="clear" w:color="auto" w:fill="D9D9D9" w:themeFill="background1" w:themeFillShade="D9"/>
            <w:noWrap/>
            <w:vAlign w:val="bottom"/>
            <w:hideMark/>
          </w:tcPr>
          <w:p w14:paraId="7D34A30A" w14:textId="77777777" w:rsidR="009733F2" w:rsidRPr="009733F2" w:rsidRDefault="009733F2" w:rsidP="009733F2">
            <w:pPr>
              <w:spacing w:after="0" w:line="240" w:lineRule="auto"/>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441" w:type="pct"/>
            <w:tcBorders>
              <w:top w:val="single" w:sz="4" w:space="0" w:color="auto"/>
              <w:left w:val="nil"/>
              <w:bottom w:val="single" w:sz="4" w:space="0" w:color="auto"/>
              <w:right w:val="nil"/>
            </w:tcBorders>
            <w:shd w:val="clear" w:color="auto" w:fill="D9D9D9" w:themeFill="background1" w:themeFillShade="D9"/>
            <w:noWrap/>
            <w:vAlign w:val="bottom"/>
            <w:hideMark/>
          </w:tcPr>
          <w:p w14:paraId="675FA41A" w14:textId="77777777" w:rsidR="009733F2" w:rsidRPr="009733F2" w:rsidRDefault="009733F2" w:rsidP="009733F2">
            <w:pPr>
              <w:spacing w:after="0" w:line="240" w:lineRule="auto"/>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542" w:type="pct"/>
            <w:tcBorders>
              <w:top w:val="single" w:sz="4" w:space="0" w:color="auto"/>
              <w:left w:val="nil"/>
              <w:bottom w:val="single" w:sz="4" w:space="0" w:color="auto"/>
              <w:right w:val="nil"/>
            </w:tcBorders>
            <w:shd w:val="clear" w:color="auto" w:fill="D9D9D9" w:themeFill="background1" w:themeFillShade="D9"/>
            <w:noWrap/>
            <w:vAlign w:val="bottom"/>
            <w:hideMark/>
          </w:tcPr>
          <w:p w14:paraId="5B2761D2" w14:textId="77777777" w:rsidR="009733F2" w:rsidRPr="009733F2" w:rsidRDefault="009733F2" w:rsidP="009733F2">
            <w:pPr>
              <w:spacing w:after="0" w:line="240" w:lineRule="auto"/>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621" w:type="pct"/>
            <w:tcBorders>
              <w:top w:val="single" w:sz="4" w:space="0" w:color="auto"/>
              <w:left w:val="nil"/>
              <w:bottom w:val="single" w:sz="4" w:space="0" w:color="auto"/>
              <w:right w:val="nil"/>
            </w:tcBorders>
            <w:shd w:val="clear" w:color="auto" w:fill="D9D9D9" w:themeFill="background1" w:themeFillShade="D9"/>
            <w:noWrap/>
            <w:vAlign w:val="bottom"/>
            <w:hideMark/>
          </w:tcPr>
          <w:p w14:paraId="10E0901B" w14:textId="77777777" w:rsidR="009733F2" w:rsidRPr="009733F2" w:rsidRDefault="009733F2" w:rsidP="009733F2">
            <w:pPr>
              <w:spacing w:after="0" w:line="240" w:lineRule="auto"/>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357" w:type="pct"/>
            <w:tcBorders>
              <w:top w:val="single" w:sz="4" w:space="0" w:color="auto"/>
              <w:left w:val="nil"/>
              <w:bottom w:val="single" w:sz="4" w:space="0" w:color="auto"/>
              <w:right w:val="nil"/>
            </w:tcBorders>
            <w:shd w:val="clear" w:color="auto" w:fill="D9D9D9" w:themeFill="background1" w:themeFillShade="D9"/>
            <w:noWrap/>
            <w:vAlign w:val="bottom"/>
            <w:hideMark/>
          </w:tcPr>
          <w:p w14:paraId="120514FB" w14:textId="77777777" w:rsidR="009733F2" w:rsidRPr="009733F2" w:rsidRDefault="009733F2" w:rsidP="009733F2">
            <w:pPr>
              <w:spacing w:after="0" w:line="240" w:lineRule="auto"/>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386" w:type="pct"/>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6802AB5C" w14:textId="77777777" w:rsidR="009733F2" w:rsidRPr="009733F2" w:rsidRDefault="009733F2" w:rsidP="009733F2">
            <w:pPr>
              <w:spacing w:after="0" w:line="240" w:lineRule="auto"/>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r>
      <w:tr w:rsidR="00926C16" w:rsidRPr="009733F2" w14:paraId="4F006688" w14:textId="77777777" w:rsidTr="4CB23653">
        <w:trPr>
          <w:trHeight w:val="300"/>
        </w:trPr>
        <w:tc>
          <w:tcPr>
            <w:tcW w:w="814" w:type="pct"/>
            <w:tcBorders>
              <w:top w:val="nil"/>
              <w:left w:val="single" w:sz="4" w:space="0" w:color="auto"/>
              <w:bottom w:val="nil"/>
              <w:right w:val="nil"/>
            </w:tcBorders>
            <w:noWrap/>
            <w:vAlign w:val="bottom"/>
            <w:hideMark/>
          </w:tcPr>
          <w:p w14:paraId="240A5F70" w14:textId="77777777" w:rsidR="009733F2" w:rsidRPr="009733F2" w:rsidRDefault="009733F2" w:rsidP="009733F2">
            <w:pPr>
              <w:spacing w:after="0" w:line="240" w:lineRule="auto"/>
              <w:rPr>
                <w:rFonts w:ascii="Univers 57 Condensed" w:eastAsia="Times New Roman" w:hAnsi="Univers 57 Condensed" w:cs="Times New Roman"/>
                <w:b/>
                <w:bCs/>
                <w:color w:val="000000"/>
                <w:sz w:val="22"/>
                <w:szCs w:val="22"/>
              </w:rPr>
            </w:pPr>
            <w:r w:rsidRPr="009733F2">
              <w:rPr>
                <w:rFonts w:ascii="Calibri" w:eastAsia="Times New Roman" w:hAnsi="Calibri" w:cs="Calibri"/>
                <w:b/>
                <w:bCs/>
                <w:color w:val="000000"/>
                <w:sz w:val="22"/>
                <w:szCs w:val="22"/>
              </w:rPr>
              <w:t> </w:t>
            </w:r>
          </w:p>
        </w:tc>
        <w:tc>
          <w:tcPr>
            <w:tcW w:w="533" w:type="pct"/>
            <w:tcBorders>
              <w:top w:val="nil"/>
              <w:left w:val="single" w:sz="4" w:space="0" w:color="auto"/>
              <w:bottom w:val="nil"/>
              <w:right w:val="single" w:sz="4" w:space="0" w:color="auto"/>
            </w:tcBorders>
            <w:noWrap/>
            <w:vAlign w:val="bottom"/>
            <w:hideMark/>
          </w:tcPr>
          <w:p w14:paraId="3CFC1857" w14:textId="77777777" w:rsidR="009733F2" w:rsidRPr="009733F2" w:rsidRDefault="009733F2" w:rsidP="009733F2">
            <w:pPr>
              <w:spacing w:after="0" w:line="240" w:lineRule="auto"/>
              <w:rPr>
                <w:rFonts w:ascii="Univers 57 Condensed" w:eastAsia="Times New Roman" w:hAnsi="Univers 57 Condensed" w:cs="Times New Roman"/>
                <w:b/>
                <w:bCs/>
                <w:color w:val="000000"/>
                <w:sz w:val="22"/>
                <w:szCs w:val="22"/>
              </w:rPr>
            </w:pPr>
            <w:r w:rsidRPr="009733F2">
              <w:rPr>
                <w:rFonts w:ascii="Univers 57 Condensed" w:eastAsia="Times New Roman" w:hAnsi="Univers 57 Condensed" w:cs="Times New Roman"/>
                <w:b/>
                <w:bCs/>
                <w:color w:val="000000"/>
                <w:sz w:val="22"/>
                <w:szCs w:val="22"/>
              </w:rPr>
              <w:t>Honiara</w:t>
            </w:r>
          </w:p>
        </w:tc>
        <w:tc>
          <w:tcPr>
            <w:tcW w:w="378" w:type="pct"/>
            <w:tcBorders>
              <w:top w:val="nil"/>
              <w:left w:val="nil"/>
              <w:bottom w:val="nil"/>
              <w:right w:val="single" w:sz="4" w:space="0" w:color="auto"/>
            </w:tcBorders>
            <w:noWrap/>
            <w:vAlign w:val="bottom"/>
            <w:hideMark/>
          </w:tcPr>
          <w:p w14:paraId="2E3E947A"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399" w:type="pct"/>
            <w:tcBorders>
              <w:top w:val="nil"/>
              <w:left w:val="nil"/>
              <w:bottom w:val="nil"/>
              <w:right w:val="nil"/>
            </w:tcBorders>
            <w:noWrap/>
            <w:vAlign w:val="bottom"/>
            <w:hideMark/>
          </w:tcPr>
          <w:p w14:paraId="31D2E21D"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529" w:type="pct"/>
            <w:tcBorders>
              <w:top w:val="nil"/>
              <w:left w:val="single" w:sz="4" w:space="0" w:color="auto"/>
              <w:bottom w:val="nil"/>
              <w:right w:val="single" w:sz="4" w:space="0" w:color="auto"/>
            </w:tcBorders>
            <w:noWrap/>
            <w:vAlign w:val="bottom"/>
            <w:hideMark/>
          </w:tcPr>
          <w:p w14:paraId="02394B8E"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441" w:type="pct"/>
            <w:tcBorders>
              <w:top w:val="nil"/>
              <w:left w:val="nil"/>
              <w:bottom w:val="nil"/>
              <w:right w:val="nil"/>
            </w:tcBorders>
            <w:noWrap/>
            <w:vAlign w:val="bottom"/>
            <w:hideMark/>
          </w:tcPr>
          <w:p w14:paraId="6B1431F8"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542" w:type="pct"/>
            <w:tcBorders>
              <w:top w:val="nil"/>
              <w:left w:val="single" w:sz="4" w:space="0" w:color="auto"/>
              <w:bottom w:val="nil"/>
              <w:right w:val="single" w:sz="4" w:space="0" w:color="auto"/>
            </w:tcBorders>
            <w:noWrap/>
            <w:vAlign w:val="bottom"/>
            <w:hideMark/>
          </w:tcPr>
          <w:p w14:paraId="00CDD775"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621" w:type="pct"/>
            <w:tcBorders>
              <w:top w:val="nil"/>
              <w:left w:val="nil"/>
              <w:bottom w:val="nil"/>
              <w:right w:val="single" w:sz="4" w:space="0" w:color="auto"/>
            </w:tcBorders>
            <w:noWrap/>
            <w:vAlign w:val="bottom"/>
            <w:hideMark/>
          </w:tcPr>
          <w:p w14:paraId="73CF5E52"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357" w:type="pct"/>
            <w:tcBorders>
              <w:top w:val="nil"/>
              <w:left w:val="nil"/>
              <w:bottom w:val="nil"/>
              <w:right w:val="single" w:sz="4" w:space="0" w:color="auto"/>
            </w:tcBorders>
            <w:noWrap/>
            <w:vAlign w:val="bottom"/>
            <w:hideMark/>
          </w:tcPr>
          <w:p w14:paraId="7562602E"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386" w:type="pct"/>
            <w:tcBorders>
              <w:top w:val="nil"/>
              <w:left w:val="nil"/>
              <w:bottom w:val="nil"/>
              <w:right w:val="single" w:sz="4" w:space="0" w:color="auto"/>
            </w:tcBorders>
            <w:noWrap/>
            <w:vAlign w:val="bottom"/>
            <w:hideMark/>
          </w:tcPr>
          <w:p w14:paraId="5A10BBC5"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r>
      <w:tr w:rsidR="00926C16" w:rsidRPr="009733F2" w14:paraId="3512FFEA" w14:textId="77777777" w:rsidTr="4CB23653">
        <w:trPr>
          <w:trHeight w:val="300"/>
        </w:trPr>
        <w:tc>
          <w:tcPr>
            <w:tcW w:w="814" w:type="pct"/>
            <w:tcBorders>
              <w:top w:val="nil"/>
              <w:left w:val="single" w:sz="4" w:space="0" w:color="auto"/>
              <w:bottom w:val="nil"/>
              <w:right w:val="nil"/>
            </w:tcBorders>
            <w:noWrap/>
            <w:vAlign w:val="bottom"/>
            <w:hideMark/>
          </w:tcPr>
          <w:p w14:paraId="5D6A53CF" w14:textId="77777777" w:rsidR="009733F2" w:rsidRPr="009733F2" w:rsidRDefault="009733F2" w:rsidP="009733F2">
            <w:pPr>
              <w:spacing w:after="0" w:line="240" w:lineRule="auto"/>
              <w:rPr>
                <w:rFonts w:ascii="Univers 57 Condensed" w:eastAsia="Times New Roman" w:hAnsi="Univers 57 Condensed" w:cs="Times New Roman"/>
                <w:b/>
                <w:bCs/>
                <w:color w:val="000000"/>
                <w:sz w:val="22"/>
                <w:szCs w:val="22"/>
              </w:rPr>
            </w:pPr>
            <w:r w:rsidRPr="009733F2">
              <w:rPr>
                <w:rFonts w:ascii="Calibri" w:eastAsia="Times New Roman" w:hAnsi="Calibri" w:cs="Calibri"/>
                <w:b/>
                <w:bCs/>
                <w:color w:val="000000"/>
                <w:sz w:val="22"/>
                <w:szCs w:val="22"/>
              </w:rPr>
              <w:t> </w:t>
            </w:r>
          </w:p>
        </w:tc>
        <w:tc>
          <w:tcPr>
            <w:tcW w:w="533" w:type="pct"/>
            <w:tcBorders>
              <w:top w:val="nil"/>
              <w:left w:val="single" w:sz="4" w:space="0" w:color="auto"/>
              <w:bottom w:val="single" w:sz="4" w:space="0" w:color="auto"/>
              <w:right w:val="single" w:sz="4" w:space="0" w:color="auto"/>
            </w:tcBorders>
            <w:noWrap/>
            <w:vAlign w:val="bottom"/>
            <w:hideMark/>
          </w:tcPr>
          <w:p w14:paraId="531E1553" w14:textId="77777777" w:rsidR="009733F2" w:rsidRPr="009733F2" w:rsidRDefault="009733F2" w:rsidP="009733F2">
            <w:pPr>
              <w:spacing w:after="0" w:line="240" w:lineRule="auto"/>
              <w:rPr>
                <w:rFonts w:ascii="Univers 57 Condensed" w:eastAsia="Times New Roman" w:hAnsi="Univers 57 Condensed" w:cs="Times New Roman"/>
                <w:b/>
                <w:bCs/>
                <w:color w:val="000000"/>
                <w:sz w:val="22"/>
                <w:szCs w:val="22"/>
              </w:rPr>
            </w:pPr>
            <w:r w:rsidRPr="009733F2">
              <w:rPr>
                <w:rFonts w:ascii="Univers 57 Condensed" w:eastAsia="Times New Roman" w:hAnsi="Univers 57 Condensed" w:cs="Times New Roman"/>
                <w:b/>
                <w:bCs/>
                <w:color w:val="000000"/>
                <w:sz w:val="22"/>
                <w:szCs w:val="22"/>
              </w:rPr>
              <w:t>Noro/Munda</w:t>
            </w:r>
          </w:p>
        </w:tc>
        <w:tc>
          <w:tcPr>
            <w:tcW w:w="378" w:type="pct"/>
            <w:tcBorders>
              <w:top w:val="nil"/>
              <w:left w:val="nil"/>
              <w:bottom w:val="nil"/>
              <w:right w:val="single" w:sz="4" w:space="0" w:color="auto"/>
            </w:tcBorders>
            <w:noWrap/>
            <w:vAlign w:val="bottom"/>
            <w:hideMark/>
          </w:tcPr>
          <w:p w14:paraId="4424E4EC"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399" w:type="pct"/>
            <w:tcBorders>
              <w:top w:val="nil"/>
              <w:left w:val="nil"/>
              <w:bottom w:val="nil"/>
              <w:right w:val="nil"/>
            </w:tcBorders>
            <w:noWrap/>
            <w:vAlign w:val="bottom"/>
            <w:hideMark/>
          </w:tcPr>
          <w:p w14:paraId="566F0E6B"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529" w:type="pct"/>
            <w:tcBorders>
              <w:top w:val="nil"/>
              <w:left w:val="single" w:sz="4" w:space="0" w:color="auto"/>
              <w:bottom w:val="nil"/>
              <w:right w:val="single" w:sz="4" w:space="0" w:color="auto"/>
            </w:tcBorders>
            <w:noWrap/>
            <w:vAlign w:val="bottom"/>
            <w:hideMark/>
          </w:tcPr>
          <w:p w14:paraId="7D891328"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441" w:type="pct"/>
            <w:tcBorders>
              <w:top w:val="nil"/>
              <w:left w:val="nil"/>
              <w:bottom w:val="nil"/>
              <w:right w:val="nil"/>
            </w:tcBorders>
            <w:noWrap/>
            <w:vAlign w:val="bottom"/>
            <w:hideMark/>
          </w:tcPr>
          <w:p w14:paraId="0EB0E224"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542" w:type="pct"/>
            <w:tcBorders>
              <w:top w:val="nil"/>
              <w:left w:val="single" w:sz="4" w:space="0" w:color="auto"/>
              <w:bottom w:val="nil"/>
              <w:right w:val="single" w:sz="4" w:space="0" w:color="auto"/>
            </w:tcBorders>
            <w:noWrap/>
            <w:vAlign w:val="bottom"/>
            <w:hideMark/>
          </w:tcPr>
          <w:p w14:paraId="32E03541"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621" w:type="pct"/>
            <w:tcBorders>
              <w:top w:val="nil"/>
              <w:left w:val="nil"/>
              <w:bottom w:val="nil"/>
              <w:right w:val="single" w:sz="4" w:space="0" w:color="auto"/>
            </w:tcBorders>
            <w:noWrap/>
            <w:vAlign w:val="bottom"/>
            <w:hideMark/>
          </w:tcPr>
          <w:p w14:paraId="5E67BE9A"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357" w:type="pct"/>
            <w:tcBorders>
              <w:top w:val="nil"/>
              <w:left w:val="nil"/>
              <w:bottom w:val="nil"/>
              <w:right w:val="single" w:sz="4" w:space="0" w:color="auto"/>
            </w:tcBorders>
            <w:noWrap/>
            <w:vAlign w:val="bottom"/>
            <w:hideMark/>
          </w:tcPr>
          <w:p w14:paraId="4D07F86E"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386" w:type="pct"/>
            <w:tcBorders>
              <w:top w:val="nil"/>
              <w:left w:val="nil"/>
              <w:bottom w:val="nil"/>
              <w:right w:val="single" w:sz="4" w:space="0" w:color="auto"/>
            </w:tcBorders>
            <w:noWrap/>
            <w:vAlign w:val="bottom"/>
            <w:hideMark/>
          </w:tcPr>
          <w:p w14:paraId="45D26FAC"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r>
      <w:tr w:rsidR="00926C16" w:rsidRPr="009733F2" w14:paraId="17351464" w14:textId="77777777" w:rsidTr="4CB23653">
        <w:trPr>
          <w:trHeight w:val="300"/>
        </w:trPr>
        <w:tc>
          <w:tcPr>
            <w:tcW w:w="814" w:type="pct"/>
            <w:tcBorders>
              <w:top w:val="single" w:sz="4" w:space="0" w:color="auto"/>
              <w:left w:val="single" w:sz="4" w:space="0" w:color="auto"/>
              <w:bottom w:val="single" w:sz="4" w:space="0" w:color="auto"/>
              <w:right w:val="nil"/>
            </w:tcBorders>
            <w:shd w:val="clear" w:color="auto" w:fill="D9D9D9" w:themeFill="background1" w:themeFillShade="D9"/>
            <w:noWrap/>
            <w:vAlign w:val="bottom"/>
            <w:hideMark/>
          </w:tcPr>
          <w:p w14:paraId="34F07319" w14:textId="77777777" w:rsidR="009733F2" w:rsidRPr="009733F2" w:rsidRDefault="009733F2" w:rsidP="009733F2">
            <w:pPr>
              <w:spacing w:after="0" w:line="240" w:lineRule="auto"/>
              <w:rPr>
                <w:rFonts w:ascii="Univers 57 Condensed" w:eastAsia="Times New Roman" w:hAnsi="Univers 57 Condensed" w:cs="Times New Roman"/>
                <w:b/>
                <w:bCs/>
                <w:color w:val="000000"/>
                <w:sz w:val="22"/>
                <w:szCs w:val="22"/>
              </w:rPr>
            </w:pPr>
            <w:r w:rsidRPr="009733F2">
              <w:rPr>
                <w:rFonts w:ascii="Univers 57 Condensed" w:eastAsia="Times New Roman" w:hAnsi="Univers 57 Condensed" w:cs="Times New Roman"/>
                <w:b/>
                <w:bCs/>
                <w:color w:val="000000"/>
                <w:sz w:val="22"/>
                <w:szCs w:val="22"/>
              </w:rPr>
              <w:lastRenderedPageBreak/>
              <w:t>Vanuatu (VAN)</w:t>
            </w:r>
          </w:p>
        </w:tc>
        <w:tc>
          <w:tcPr>
            <w:tcW w:w="533" w:type="pct"/>
            <w:tcBorders>
              <w:top w:val="nil"/>
              <w:left w:val="nil"/>
              <w:bottom w:val="single" w:sz="4" w:space="0" w:color="auto"/>
              <w:right w:val="nil"/>
            </w:tcBorders>
            <w:shd w:val="clear" w:color="auto" w:fill="D9D9D9" w:themeFill="background1" w:themeFillShade="D9"/>
            <w:noWrap/>
            <w:vAlign w:val="bottom"/>
            <w:hideMark/>
          </w:tcPr>
          <w:p w14:paraId="077C5DAD" w14:textId="77777777" w:rsidR="009733F2" w:rsidRPr="009733F2" w:rsidRDefault="009733F2" w:rsidP="009733F2">
            <w:pPr>
              <w:spacing w:after="0" w:line="240" w:lineRule="auto"/>
              <w:rPr>
                <w:rFonts w:ascii="Univers 57 Condensed" w:eastAsia="Times New Roman" w:hAnsi="Univers 57 Condensed" w:cs="Times New Roman"/>
                <w:b/>
                <w:bCs/>
                <w:color w:val="000000"/>
                <w:sz w:val="22"/>
                <w:szCs w:val="22"/>
              </w:rPr>
            </w:pPr>
            <w:r w:rsidRPr="009733F2">
              <w:rPr>
                <w:rFonts w:ascii="Calibri" w:eastAsia="Times New Roman" w:hAnsi="Calibri" w:cs="Calibri"/>
                <w:b/>
                <w:bCs/>
                <w:color w:val="000000"/>
                <w:sz w:val="22"/>
                <w:szCs w:val="22"/>
              </w:rPr>
              <w:t> </w:t>
            </w:r>
          </w:p>
        </w:tc>
        <w:tc>
          <w:tcPr>
            <w:tcW w:w="378" w:type="pct"/>
            <w:tcBorders>
              <w:top w:val="single" w:sz="4" w:space="0" w:color="auto"/>
              <w:left w:val="nil"/>
              <w:bottom w:val="single" w:sz="4" w:space="0" w:color="auto"/>
              <w:right w:val="nil"/>
            </w:tcBorders>
            <w:shd w:val="clear" w:color="auto" w:fill="D9D9D9" w:themeFill="background1" w:themeFillShade="D9"/>
            <w:noWrap/>
            <w:vAlign w:val="bottom"/>
            <w:hideMark/>
          </w:tcPr>
          <w:p w14:paraId="49227649" w14:textId="77777777" w:rsidR="009733F2" w:rsidRPr="009733F2" w:rsidRDefault="009733F2" w:rsidP="009733F2">
            <w:pPr>
              <w:spacing w:after="0" w:line="240" w:lineRule="auto"/>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399" w:type="pct"/>
            <w:tcBorders>
              <w:top w:val="single" w:sz="4" w:space="0" w:color="auto"/>
              <w:left w:val="nil"/>
              <w:bottom w:val="single" w:sz="4" w:space="0" w:color="auto"/>
              <w:right w:val="nil"/>
            </w:tcBorders>
            <w:shd w:val="clear" w:color="auto" w:fill="D9D9D9" w:themeFill="background1" w:themeFillShade="D9"/>
            <w:noWrap/>
            <w:vAlign w:val="bottom"/>
            <w:hideMark/>
          </w:tcPr>
          <w:p w14:paraId="4A20B073" w14:textId="77777777" w:rsidR="009733F2" w:rsidRPr="009733F2" w:rsidRDefault="009733F2" w:rsidP="009733F2">
            <w:pPr>
              <w:spacing w:after="0" w:line="240" w:lineRule="auto"/>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529" w:type="pct"/>
            <w:tcBorders>
              <w:top w:val="single" w:sz="4" w:space="0" w:color="auto"/>
              <w:left w:val="nil"/>
              <w:bottom w:val="single" w:sz="4" w:space="0" w:color="auto"/>
              <w:right w:val="nil"/>
            </w:tcBorders>
            <w:shd w:val="clear" w:color="auto" w:fill="D9D9D9" w:themeFill="background1" w:themeFillShade="D9"/>
            <w:noWrap/>
            <w:vAlign w:val="bottom"/>
            <w:hideMark/>
          </w:tcPr>
          <w:p w14:paraId="631E1520" w14:textId="77777777" w:rsidR="009733F2" w:rsidRPr="009733F2" w:rsidRDefault="009733F2" w:rsidP="009733F2">
            <w:pPr>
              <w:spacing w:after="0" w:line="240" w:lineRule="auto"/>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441" w:type="pct"/>
            <w:tcBorders>
              <w:top w:val="single" w:sz="4" w:space="0" w:color="auto"/>
              <w:left w:val="nil"/>
              <w:bottom w:val="single" w:sz="4" w:space="0" w:color="auto"/>
              <w:right w:val="nil"/>
            </w:tcBorders>
            <w:shd w:val="clear" w:color="auto" w:fill="D9D9D9" w:themeFill="background1" w:themeFillShade="D9"/>
            <w:noWrap/>
            <w:vAlign w:val="bottom"/>
            <w:hideMark/>
          </w:tcPr>
          <w:p w14:paraId="141D554E" w14:textId="77777777" w:rsidR="009733F2" w:rsidRPr="009733F2" w:rsidRDefault="009733F2" w:rsidP="009733F2">
            <w:pPr>
              <w:spacing w:after="0" w:line="240" w:lineRule="auto"/>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542" w:type="pct"/>
            <w:tcBorders>
              <w:top w:val="single" w:sz="4" w:space="0" w:color="auto"/>
              <w:left w:val="nil"/>
              <w:bottom w:val="single" w:sz="4" w:space="0" w:color="auto"/>
              <w:right w:val="nil"/>
            </w:tcBorders>
            <w:shd w:val="clear" w:color="auto" w:fill="D9D9D9" w:themeFill="background1" w:themeFillShade="D9"/>
            <w:noWrap/>
            <w:vAlign w:val="bottom"/>
            <w:hideMark/>
          </w:tcPr>
          <w:p w14:paraId="445E3B4C" w14:textId="77777777" w:rsidR="009733F2" w:rsidRPr="009733F2" w:rsidRDefault="009733F2" w:rsidP="009733F2">
            <w:pPr>
              <w:spacing w:after="0" w:line="240" w:lineRule="auto"/>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621" w:type="pct"/>
            <w:tcBorders>
              <w:top w:val="single" w:sz="4" w:space="0" w:color="auto"/>
              <w:left w:val="nil"/>
              <w:bottom w:val="single" w:sz="4" w:space="0" w:color="auto"/>
              <w:right w:val="nil"/>
            </w:tcBorders>
            <w:shd w:val="clear" w:color="auto" w:fill="D9D9D9" w:themeFill="background1" w:themeFillShade="D9"/>
            <w:noWrap/>
            <w:vAlign w:val="bottom"/>
            <w:hideMark/>
          </w:tcPr>
          <w:p w14:paraId="6E15A1A8" w14:textId="77777777" w:rsidR="009733F2" w:rsidRPr="009733F2" w:rsidRDefault="009733F2" w:rsidP="009733F2">
            <w:pPr>
              <w:spacing w:after="0" w:line="240" w:lineRule="auto"/>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357" w:type="pct"/>
            <w:tcBorders>
              <w:top w:val="single" w:sz="4" w:space="0" w:color="auto"/>
              <w:left w:val="nil"/>
              <w:bottom w:val="single" w:sz="4" w:space="0" w:color="auto"/>
              <w:right w:val="nil"/>
            </w:tcBorders>
            <w:shd w:val="clear" w:color="auto" w:fill="D9D9D9" w:themeFill="background1" w:themeFillShade="D9"/>
            <w:noWrap/>
            <w:vAlign w:val="bottom"/>
            <w:hideMark/>
          </w:tcPr>
          <w:p w14:paraId="4EE79C12" w14:textId="77777777" w:rsidR="009733F2" w:rsidRPr="009733F2" w:rsidRDefault="009733F2" w:rsidP="009733F2">
            <w:pPr>
              <w:spacing w:after="0" w:line="240" w:lineRule="auto"/>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386" w:type="pct"/>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265B4A10" w14:textId="77777777" w:rsidR="009733F2" w:rsidRPr="009733F2" w:rsidRDefault="009733F2" w:rsidP="009733F2">
            <w:pPr>
              <w:spacing w:after="0" w:line="240" w:lineRule="auto"/>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r>
      <w:tr w:rsidR="00926C16" w:rsidRPr="009733F2" w14:paraId="347D0C34" w14:textId="77777777" w:rsidTr="4CB23653">
        <w:trPr>
          <w:trHeight w:val="300"/>
        </w:trPr>
        <w:tc>
          <w:tcPr>
            <w:tcW w:w="814" w:type="pct"/>
            <w:tcBorders>
              <w:top w:val="nil"/>
              <w:left w:val="single" w:sz="4" w:space="0" w:color="auto"/>
              <w:bottom w:val="nil"/>
              <w:right w:val="nil"/>
            </w:tcBorders>
            <w:noWrap/>
            <w:vAlign w:val="bottom"/>
            <w:hideMark/>
          </w:tcPr>
          <w:p w14:paraId="6A5C0C3A" w14:textId="77777777" w:rsidR="009733F2" w:rsidRPr="009733F2" w:rsidRDefault="009733F2" w:rsidP="009733F2">
            <w:pPr>
              <w:spacing w:after="0" w:line="240" w:lineRule="auto"/>
              <w:rPr>
                <w:rFonts w:ascii="Univers 57 Condensed" w:eastAsia="Times New Roman" w:hAnsi="Univers 57 Condensed" w:cs="Times New Roman"/>
                <w:b/>
                <w:bCs/>
                <w:color w:val="000000"/>
                <w:sz w:val="22"/>
                <w:szCs w:val="22"/>
              </w:rPr>
            </w:pPr>
            <w:r w:rsidRPr="009733F2">
              <w:rPr>
                <w:rFonts w:ascii="Calibri" w:eastAsia="Times New Roman" w:hAnsi="Calibri" w:cs="Calibri"/>
                <w:b/>
                <w:bCs/>
                <w:color w:val="000000"/>
                <w:sz w:val="22"/>
                <w:szCs w:val="22"/>
              </w:rPr>
              <w:t> </w:t>
            </w:r>
          </w:p>
        </w:tc>
        <w:tc>
          <w:tcPr>
            <w:tcW w:w="533" w:type="pct"/>
            <w:tcBorders>
              <w:top w:val="nil"/>
              <w:left w:val="single" w:sz="4" w:space="0" w:color="auto"/>
              <w:bottom w:val="nil"/>
              <w:right w:val="single" w:sz="4" w:space="0" w:color="auto"/>
            </w:tcBorders>
            <w:noWrap/>
            <w:vAlign w:val="bottom"/>
            <w:hideMark/>
          </w:tcPr>
          <w:p w14:paraId="684E0D58" w14:textId="77777777" w:rsidR="009733F2" w:rsidRPr="009733F2" w:rsidRDefault="009733F2" w:rsidP="009733F2">
            <w:pPr>
              <w:spacing w:after="0" w:line="240" w:lineRule="auto"/>
              <w:rPr>
                <w:rFonts w:ascii="Univers 57 Condensed" w:eastAsia="Times New Roman" w:hAnsi="Univers 57 Condensed" w:cs="Times New Roman"/>
                <w:b/>
                <w:bCs/>
                <w:color w:val="000000"/>
                <w:sz w:val="22"/>
                <w:szCs w:val="22"/>
              </w:rPr>
            </w:pPr>
            <w:r w:rsidRPr="009733F2">
              <w:rPr>
                <w:rFonts w:ascii="Univers 57 Condensed" w:eastAsia="Times New Roman" w:hAnsi="Univers 57 Condensed" w:cs="Times New Roman"/>
                <w:b/>
                <w:bCs/>
                <w:color w:val="000000"/>
                <w:sz w:val="22"/>
                <w:szCs w:val="22"/>
              </w:rPr>
              <w:t>Port Vila</w:t>
            </w:r>
          </w:p>
        </w:tc>
        <w:tc>
          <w:tcPr>
            <w:tcW w:w="378" w:type="pct"/>
            <w:tcBorders>
              <w:top w:val="nil"/>
              <w:left w:val="nil"/>
              <w:bottom w:val="nil"/>
              <w:right w:val="single" w:sz="4" w:space="0" w:color="auto"/>
            </w:tcBorders>
            <w:noWrap/>
            <w:vAlign w:val="bottom"/>
            <w:hideMark/>
          </w:tcPr>
          <w:p w14:paraId="1562E7FA"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399" w:type="pct"/>
            <w:tcBorders>
              <w:top w:val="nil"/>
              <w:left w:val="nil"/>
              <w:bottom w:val="nil"/>
              <w:right w:val="nil"/>
            </w:tcBorders>
            <w:noWrap/>
            <w:vAlign w:val="bottom"/>
            <w:hideMark/>
          </w:tcPr>
          <w:p w14:paraId="0E6A10BB"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529" w:type="pct"/>
            <w:tcBorders>
              <w:top w:val="nil"/>
              <w:left w:val="single" w:sz="4" w:space="0" w:color="auto"/>
              <w:bottom w:val="nil"/>
              <w:right w:val="single" w:sz="4" w:space="0" w:color="auto"/>
            </w:tcBorders>
            <w:noWrap/>
            <w:vAlign w:val="bottom"/>
            <w:hideMark/>
          </w:tcPr>
          <w:p w14:paraId="16107E2C"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441" w:type="pct"/>
            <w:tcBorders>
              <w:top w:val="nil"/>
              <w:left w:val="nil"/>
              <w:bottom w:val="nil"/>
              <w:right w:val="nil"/>
            </w:tcBorders>
            <w:noWrap/>
            <w:vAlign w:val="bottom"/>
            <w:hideMark/>
          </w:tcPr>
          <w:p w14:paraId="11C52638"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542" w:type="pct"/>
            <w:tcBorders>
              <w:top w:val="nil"/>
              <w:left w:val="single" w:sz="4" w:space="0" w:color="auto"/>
              <w:bottom w:val="nil"/>
              <w:right w:val="single" w:sz="4" w:space="0" w:color="auto"/>
            </w:tcBorders>
            <w:noWrap/>
            <w:vAlign w:val="bottom"/>
            <w:hideMark/>
          </w:tcPr>
          <w:p w14:paraId="5357E9B7"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621" w:type="pct"/>
            <w:tcBorders>
              <w:top w:val="nil"/>
              <w:left w:val="nil"/>
              <w:bottom w:val="nil"/>
              <w:right w:val="single" w:sz="4" w:space="0" w:color="auto"/>
            </w:tcBorders>
            <w:noWrap/>
            <w:vAlign w:val="bottom"/>
            <w:hideMark/>
          </w:tcPr>
          <w:p w14:paraId="6EADF43C"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357" w:type="pct"/>
            <w:tcBorders>
              <w:top w:val="nil"/>
              <w:left w:val="nil"/>
              <w:bottom w:val="nil"/>
              <w:right w:val="single" w:sz="4" w:space="0" w:color="auto"/>
            </w:tcBorders>
            <w:noWrap/>
            <w:vAlign w:val="bottom"/>
            <w:hideMark/>
          </w:tcPr>
          <w:p w14:paraId="227F8B13"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386" w:type="pct"/>
            <w:tcBorders>
              <w:top w:val="nil"/>
              <w:left w:val="nil"/>
              <w:bottom w:val="nil"/>
              <w:right w:val="single" w:sz="4" w:space="0" w:color="auto"/>
            </w:tcBorders>
            <w:noWrap/>
            <w:vAlign w:val="bottom"/>
            <w:hideMark/>
          </w:tcPr>
          <w:p w14:paraId="12071353"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r>
      <w:tr w:rsidR="00926C16" w:rsidRPr="009733F2" w14:paraId="7FDBD834" w14:textId="77777777" w:rsidTr="4CB23653">
        <w:trPr>
          <w:trHeight w:val="300"/>
        </w:trPr>
        <w:tc>
          <w:tcPr>
            <w:tcW w:w="814" w:type="pct"/>
            <w:tcBorders>
              <w:top w:val="nil"/>
              <w:left w:val="single" w:sz="4" w:space="0" w:color="auto"/>
              <w:bottom w:val="nil"/>
              <w:right w:val="nil"/>
            </w:tcBorders>
            <w:noWrap/>
            <w:vAlign w:val="bottom"/>
            <w:hideMark/>
          </w:tcPr>
          <w:p w14:paraId="3C49F172" w14:textId="77777777" w:rsidR="009733F2" w:rsidRPr="009733F2" w:rsidRDefault="009733F2" w:rsidP="009733F2">
            <w:pPr>
              <w:spacing w:after="0" w:line="240" w:lineRule="auto"/>
              <w:rPr>
                <w:rFonts w:ascii="Univers 57 Condensed" w:eastAsia="Times New Roman" w:hAnsi="Univers 57 Condensed" w:cs="Times New Roman"/>
                <w:b/>
                <w:bCs/>
                <w:color w:val="000000"/>
                <w:sz w:val="22"/>
                <w:szCs w:val="22"/>
              </w:rPr>
            </w:pPr>
            <w:r w:rsidRPr="009733F2">
              <w:rPr>
                <w:rFonts w:ascii="Calibri" w:eastAsia="Times New Roman" w:hAnsi="Calibri" w:cs="Calibri"/>
                <w:b/>
                <w:bCs/>
                <w:color w:val="000000"/>
                <w:sz w:val="22"/>
                <w:szCs w:val="22"/>
              </w:rPr>
              <w:t> </w:t>
            </w:r>
          </w:p>
        </w:tc>
        <w:tc>
          <w:tcPr>
            <w:tcW w:w="533" w:type="pct"/>
            <w:tcBorders>
              <w:top w:val="nil"/>
              <w:left w:val="single" w:sz="4" w:space="0" w:color="auto"/>
              <w:bottom w:val="nil"/>
              <w:right w:val="single" w:sz="4" w:space="0" w:color="auto"/>
            </w:tcBorders>
            <w:noWrap/>
            <w:vAlign w:val="bottom"/>
            <w:hideMark/>
          </w:tcPr>
          <w:p w14:paraId="7BC071FC" w14:textId="77777777" w:rsidR="009733F2" w:rsidRPr="009733F2" w:rsidRDefault="009733F2" w:rsidP="009733F2">
            <w:pPr>
              <w:spacing w:after="0" w:line="240" w:lineRule="auto"/>
              <w:rPr>
                <w:rFonts w:ascii="Univers 57 Condensed" w:eastAsia="Times New Roman" w:hAnsi="Univers 57 Condensed" w:cs="Times New Roman"/>
                <w:b/>
                <w:bCs/>
                <w:color w:val="000000"/>
                <w:sz w:val="22"/>
                <w:szCs w:val="22"/>
              </w:rPr>
            </w:pPr>
            <w:r w:rsidRPr="009733F2">
              <w:rPr>
                <w:rFonts w:ascii="Univers 57 Condensed" w:eastAsia="Times New Roman" w:hAnsi="Univers 57 Condensed" w:cs="Times New Roman"/>
                <w:b/>
                <w:bCs/>
                <w:color w:val="000000"/>
                <w:sz w:val="22"/>
                <w:szCs w:val="22"/>
              </w:rPr>
              <w:t>Mele Basin</w:t>
            </w:r>
          </w:p>
        </w:tc>
        <w:tc>
          <w:tcPr>
            <w:tcW w:w="378" w:type="pct"/>
            <w:tcBorders>
              <w:top w:val="nil"/>
              <w:left w:val="nil"/>
              <w:bottom w:val="nil"/>
              <w:right w:val="single" w:sz="4" w:space="0" w:color="auto"/>
            </w:tcBorders>
            <w:noWrap/>
            <w:vAlign w:val="bottom"/>
            <w:hideMark/>
          </w:tcPr>
          <w:p w14:paraId="20E1CD01"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399" w:type="pct"/>
            <w:tcBorders>
              <w:top w:val="nil"/>
              <w:left w:val="nil"/>
              <w:bottom w:val="nil"/>
              <w:right w:val="nil"/>
            </w:tcBorders>
            <w:noWrap/>
            <w:vAlign w:val="bottom"/>
            <w:hideMark/>
          </w:tcPr>
          <w:p w14:paraId="11826DF7"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529" w:type="pct"/>
            <w:tcBorders>
              <w:top w:val="nil"/>
              <w:left w:val="single" w:sz="4" w:space="0" w:color="auto"/>
              <w:bottom w:val="nil"/>
              <w:right w:val="single" w:sz="4" w:space="0" w:color="auto"/>
            </w:tcBorders>
            <w:noWrap/>
            <w:vAlign w:val="bottom"/>
            <w:hideMark/>
          </w:tcPr>
          <w:p w14:paraId="53C164F6"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441" w:type="pct"/>
            <w:tcBorders>
              <w:top w:val="nil"/>
              <w:left w:val="nil"/>
              <w:bottom w:val="nil"/>
              <w:right w:val="nil"/>
            </w:tcBorders>
            <w:noWrap/>
            <w:vAlign w:val="bottom"/>
            <w:hideMark/>
          </w:tcPr>
          <w:p w14:paraId="3D4B0F1A"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542" w:type="pct"/>
            <w:tcBorders>
              <w:top w:val="nil"/>
              <w:left w:val="single" w:sz="4" w:space="0" w:color="auto"/>
              <w:bottom w:val="nil"/>
              <w:right w:val="single" w:sz="4" w:space="0" w:color="auto"/>
            </w:tcBorders>
            <w:noWrap/>
            <w:vAlign w:val="bottom"/>
            <w:hideMark/>
          </w:tcPr>
          <w:p w14:paraId="038F3B34"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621" w:type="pct"/>
            <w:tcBorders>
              <w:top w:val="nil"/>
              <w:left w:val="nil"/>
              <w:bottom w:val="nil"/>
              <w:right w:val="single" w:sz="4" w:space="0" w:color="auto"/>
            </w:tcBorders>
            <w:noWrap/>
            <w:vAlign w:val="bottom"/>
            <w:hideMark/>
          </w:tcPr>
          <w:p w14:paraId="28DEFCCE"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357" w:type="pct"/>
            <w:tcBorders>
              <w:top w:val="nil"/>
              <w:left w:val="nil"/>
              <w:bottom w:val="nil"/>
              <w:right w:val="single" w:sz="4" w:space="0" w:color="auto"/>
            </w:tcBorders>
            <w:noWrap/>
            <w:vAlign w:val="bottom"/>
            <w:hideMark/>
          </w:tcPr>
          <w:p w14:paraId="0D95262F"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386" w:type="pct"/>
            <w:tcBorders>
              <w:top w:val="nil"/>
              <w:left w:val="nil"/>
              <w:bottom w:val="nil"/>
              <w:right w:val="single" w:sz="4" w:space="0" w:color="auto"/>
            </w:tcBorders>
            <w:noWrap/>
            <w:vAlign w:val="bottom"/>
            <w:hideMark/>
          </w:tcPr>
          <w:p w14:paraId="2DE68728"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r>
      <w:tr w:rsidR="00926C16" w:rsidRPr="009733F2" w14:paraId="16E10549" w14:textId="77777777" w:rsidTr="4CB23653">
        <w:trPr>
          <w:trHeight w:val="300"/>
        </w:trPr>
        <w:tc>
          <w:tcPr>
            <w:tcW w:w="814" w:type="pct"/>
            <w:tcBorders>
              <w:top w:val="nil"/>
              <w:left w:val="single" w:sz="4" w:space="0" w:color="auto"/>
              <w:bottom w:val="nil"/>
              <w:right w:val="nil"/>
            </w:tcBorders>
            <w:noWrap/>
            <w:vAlign w:val="bottom"/>
            <w:hideMark/>
          </w:tcPr>
          <w:p w14:paraId="30023874" w14:textId="77777777" w:rsidR="009733F2" w:rsidRPr="009733F2" w:rsidRDefault="009733F2" w:rsidP="009733F2">
            <w:pPr>
              <w:spacing w:after="0" w:line="240" w:lineRule="auto"/>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533" w:type="pct"/>
            <w:tcBorders>
              <w:top w:val="nil"/>
              <w:left w:val="single" w:sz="4" w:space="0" w:color="auto"/>
              <w:bottom w:val="nil"/>
              <w:right w:val="single" w:sz="4" w:space="0" w:color="auto"/>
            </w:tcBorders>
            <w:noWrap/>
            <w:vAlign w:val="bottom"/>
            <w:hideMark/>
          </w:tcPr>
          <w:p w14:paraId="603C93D4" w14:textId="77777777" w:rsidR="009733F2" w:rsidRPr="009733F2" w:rsidRDefault="009733F2" w:rsidP="009733F2">
            <w:pPr>
              <w:spacing w:after="0" w:line="240" w:lineRule="auto"/>
              <w:rPr>
                <w:rFonts w:ascii="Univers 57 Condensed" w:eastAsia="Times New Roman" w:hAnsi="Univers 57 Condensed" w:cs="Times New Roman"/>
                <w:b/>
                <w:bCs/>
                <w:color w:val="000000"/>
                <w:sz w:val="22"/>
                <w:szCs w:val="22"/>
              </w:rPr>
            </w:pPr>
            <w:r w:rsidRPr="009733F2">
              <w:rPr>
                <w:rFonts w:ascii="Univers 57 Condensed" w:eastAsia="Times New Roman" w:hAnsi="Univers 57 Condensed" w:cs="Times New Roman"/>
                <w:b/>
                <w:bCs/>
                <w:color w:val="000000"/>
                <w:sz w:val="22"/>
                <w:szCs w:val="22"/>
              </w:rPr>
              <w:t>La Colle Basin</w:t>
            </w:r>
          </w:p>
        </w:tc>
        <w:tc>
          <w:tcPr>
            <w:tcW w:w="378" w:type="pct"/>
            <w:tcBorders>
              <w:top w:val="nil"/>
              <w:left w:val="nil"/>
              <w:bottom w:val="nil"/>
              <w:right w:val="single" w:sz="4" w:space="0" w:color="auto"/>
            </w:tcBorders>
            <w:noWrap/>
            <w:vAlign w:val="bottom"/>
            <w:hideMark/>
          </w:tcPr>
          <w:p w14:paraId="0F00161E"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399" w:type="pct"/>
            <w:tcBorders>
              <w:top w:val="nil"/>
              <w:left w:val="nil"/>
              <w:bottom w:val="nil"/>
              <w:right w:val="nil"/>
            </w:tcBorders>
            <w:noWrap/>
            <w:vAlign w:val="bottom"/>
            <w:hideMark/>
          </w:tcPr>
          <w:p w14:paraId="115D382B"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529" w:type="pct"/>
            <w:tcBorders>
              <w:top w:val="nil"/>
              <w:left w:val="single" w:sz="4" w:space="0" w:color="auto"/>
              <w:bottom w:val="nil"/>
              <w:right w:val="single" w:sz="4" w:space="0" w:color="auto"/>
            </w:tcBorders>
            <w:noWrap/>
            <w:vAlign w:val="bottom"/>
            <w:hideMark/>
          </w:tcPr>
          <w:p w14:paraId="40409719"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441" w:type="pct"/>
            <w:tcBorders>
              <w:top w:val="nil"/>
              <w:left w:val="nil"/>
              <w:bottom w:val="nil"/>
              <w:right w:val="nil"/>
            </w:tcBorders>
            <w:noWrap/>
            <w:vAlign w:val="bottom"/>
            <w:hideMark/>
          </w:tcPr>
          <w:p w14:paraId="08F16CE2"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542" w:type="pct"/>
            <w:tcBorders>
              <w:top w:val="nil"/>
              <w:left w:val="single" w:sz="4" w:space="0" w:color="auto"/>
              <w:bottom w:val="nil"/>
              <w:right w:val="single" w:sz="4" w:space="0" w:color="auto"/>
            </w:tcBorders>
            <w:noWrap/>
            <w:vAlign w:val="bottom"/>
            <w:hideMark/>
          </w:tcPr>
          <w:p w14:paraId="30EAC290"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621" w:type="pct"/>
            <w:tcBorders>
              <w:top w:val="nil"/>
              <w:left w:val="nil"/>
              <w:bottom w:val="nil"/>
              <w:right w:val="single" w:sz="4" w:space="0" w:color="auto"/>
            </w:tcBorders>
            <w:noWrap/>
            <w:vAlign w:val="bottom"/>
            <w:hideMark/>
          </w:tcPr>
          <w:p w14:paraId="3936EB73"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357" w:type="pct"/>
            <w:tcBorders>
              <w:top w:val="nil"/>
              <w:left w:val="nil"/>
              <w:bottom w:val="nil"/>
              <w:right w:val="single" w:sz="4" w:space="0" w:color="auto"/>
            </w:tcBorders>
            <w:noWrap/>
            <w:vAlign w:val="bottom"/>
            <w:hideMark/>
          </w:tcPr>
          <w:p w14:paraId="0AF36C27"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386" w:type="pct"/>
            <w:tcBorders>
              <w:top w:val="nil"/>
              <w:left w:val="nil"/>
              <w:bottom w:val="nil"/>
              <w:right w:val="single" w:sz="4" w:space="0" w:color="auto"/>
            </w:tcBorders>
            <w:noWrap/>
            <w:vAlign w:val="bottom"/>
            <w:hideMark/>
          </w:tcPr>
          <w:p w14:paraId="3788D1AF"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r>
      <w:tr w:rsidR="00926C16" w:rsidRPr="009733F2" w14:paraId="0AF70672" w14:textId="77777777" w:rsidTr="4CB23653">
        <w:trPr>
          <w:trHeight w:val="300"/>
        </w:trPr>
        <w:tc>
          <w:tcPr>
            <w:tcW w:w="814" w:type="pct"/>
            <w:tcBorders>
              <w:top w:val="nil"/>
              <w:left w:val="single" w:sz="4" w:space="0" w:color="auto"/>
              <w:bottom w:val="nil"/>
              <w:right w:val="nil"/>
            </w:tcBorders>
            <w:noWrap/>
            <w:vAlign w:val="bottom"/>
            <w:hideMark/>
          </w:tcPr>
          <w:p w14:paraId="51948BC6" w14:textId="77777777" w:rsidR="009733F2" w:rsidRPr="009733F2" w:rsidRDefault="009733F2" w:rsidP="009733F2">
            <w:pPr>
              <w:spacing w:after="0" w:line="240" w:lineRule="auto"/>
              <w:rPr>
                <w:rFonts w:ascii="Univers 57 Condensed" w:eastAsia="Times New Roman" w:hAnsi="Univers 57 Condensed" w:cs="Times New Roman"/>
                <w:b/>
                <w:bCs/>
                <w:color w:val="000000"/>
                <w:sz w:val="22"/>
                <w:szCs w:val="22"/>
              </w:rPr>
            </w:pPr>
            <w:r w:rsidRPr="009733F2">
              <w:rPr>
                <w:rFonts w:ascii="Calibri" w:eastAsia="Times New Roman" w:hAnsi="Calibri" w:cs="Calibri"/>
                <w:b/>
                <w:bCs/>
                <w:color w:val="000000"/>
                <w:sz w:val="22"/>
                <w:szCs w:val="22"/>
              </w:rPr>
              <w:t> </w:t>
            </w:r>
          </w:p>
        </w:tc>
        <w:tc>
          <w:tcPr>
            <w:tcW w:w="533" w:type="pct"/>
            <w:tcBorders>
              <w:top w:val="nil"/>
              <w:left w:val="single" w:sz="4" w:space="0" w:color="auto"/>
              <w:bottom w:val="nil"/>
              <w:right w:val="single" w:sz="4" w:space="0" w:color="auto"/>
            </w:tcBorders>
            <w:noWrap/>
            <w:vAlign w:val="bottom"/>
            <w:hideMark/>
          </w:tcPr>
          <w:p w14:paraId="4AC304FE" w14:textId="77777777" w:rsidR="009733F2" w:rsidRPr="009733F2" w:rsidRDefault="009733F2" w:rsidP="009733F2">
            <w:pPr>
              <w:spacing w:after="0" w:line="240" w:lineRule="auto"/>
              <w:rPr>
                <w:rFonts w:ascii="Univers 57 Condensed" w:eastAsia="Times New Roman" w:hAnsi="Univers 57 Condensed" w:cs="Times New Roman"/>
                <w:b/>
                <w:bCs/>
                <w:color w:val="000000"/>
                <w:sz w:val="22"/>
                <w:szCs w:val="22"/>
              </w:rPr>
            </w:pPr>
            <w:r w:rsidRPr="009733F2">
              <w:rPr>
                <w:rFonts w:ascii="Univers 57 Condensed" w:eastAsia="Times New Roman" w:hAnsi="Univers 57 Condensed" w:cs="Times New Roman"/>
                <w:b/>
                <w:bCs/>
                <w:color w:val="000000"/>
                <w:sz w:val="22"/>
                <w:szCs w:val="22"/>
              </w:rPr>
              <w:t>Tagabe Basin</w:t>
            </w:r>
          </w:p>
        </w:tc>
        <w:tc>
          <w:tcPr>
            <w:tcW w:w="378" w:type="pct"/>
            <w:tcBorders>
              <w:top w:val="nil"/>
              <w:left w:val="nil"/>
              <w:bottom w:val="nil"/>
              <w:right w:val="single" w:sz="4" w:space="0" w:color="auto"/>
            </w:tcBorders>
            <w:noWrap/>
            <w:vAlign w:val="bottom"/>
            <w:hideMark/>
          </w:tcPr>
          <w:p w14:paraId="36A36ADA"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399" w:type="pct"/>
            <w:tcBorders>
              <w:top w:val="nil"/>
              <w:left w:val="nil"/>
              <w:bottom w:val="nil"/>
              <w:right w:val="nil"/>
            </w:tcBorders>
            <w:noWrap/>
            <w:vAlign w:val="bottom"/>
            <w:hideMark/>
          </w:tcPr>
          <w:p w14:paraId="3646FA39"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529" w:type="pct"/>
            <w:tcBorders>
              <w:top w:val="nil"/>
              <w:left w:val="single" w:sz="4" w:space="0" w:color="auto"/>
              <w:bottom w:val="nil"/>
              <w:right w:val="single" w:sz="4" w:space="0" w:color="auto"/>
            </w:tcBorders>
            <w:noWrap/>
            <w:vAlign w:val="bottom"/>
            <w:hideMark/>
          </w:tcPr>
          <w:p w14:paraId="5BFA2C0E"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441" w:type="pct"/>
            <w:tcBorders>
              <w:top w:val="nil"/>
              <w:left w:val="nil"/>
              <w:bottom w:val="nil"/>
              <w:right w:val="nil"/>
            </w:tcBorders>
            <w:noWrap/>
            <w:vAlign w:val="bottom"/>
            <w:hideMark/>
          </w:tcPr>
          <w:p w14:paraId="2778FCA3"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542" w:type="pct"/>
            <w:tcBorders>
              <w:top w:val="nil"/>
              <w:left w:val="single" w:sz="4" w:space="0" w:color="auto"/>
              <w:bottom w:val="nil"/>
              <w:right w:val="single" w:sz="4" w:space="0" w:color="auto"/>
            </w:tcBorders>
            <w:noWrap/>
            <w:vAlign w:val="bottom"/>
            <w:hideMark/>
          </w:tcPr>
          <w:p w14:paraId="6780D41A"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621" w:type="pct"/>
            <w:tcBorders>
              <w:top w:val="nil"/>
              <w:left w:val="nil"/>
              <w:bottom w:val="nil"/>
              <w:right w:val="single" w:sz="4" w:space="0" w:color="auto"/>
            </w:tcBorders>
            <w:noWrap/>
            <w:vAlign w:val="bottom"/>
            <w:hideMark/>
          </w:tcPr>
          <w:p w14:paraId="5455CFF2"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357" w:type="pct"/>
            <w:tcBorders>
              <w:top w:val="nil"/>
              <w:left w:val="nil"/>
              <w:bottom w:val="nil"/>
              <w:right w:val="single" w:sz="4" w:space="0" w:color="auto"/>
            </w:tcBorders>
            <w:noWrap/>
            <w:vAlign w:val="bottom"/>
            <w:hideMark/>
          </w:tcPr>
          <w:p w14:paraId="7B176355"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386" w:type="pct"/>
            <w:tcBorders>
              <w:top w:val="nil"/>
              <w:left w:val="nil"/>
              <w:bottom w:val="nil"/>
              <w:right w:val="single" w:sz="4" w:space="0" w:color="auto"/>
            </w:tcBorders>
            <w:noWrap/>
            <w:vAlign w:val="bottom"/>
            <w:hideMark/>
          </w:tcPr>
          <w:p w14:paraId="4B4AADB6"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r>
      <w:tr w:rsidR="00926C16" w:rsidRPr="009733F2" w14:paraId="79509B05" w14:textId="77777777" w:rsidTr="4CB23653">
        <w:trPr>
          <w:trHeight w:val="300"/>
        </w:trPr>
        <w:tc>
          <w:tcPr>
            <w:tcW w:w="814" w:type="pct"/>
            <w:tcBorders>
              <w:top w:val="nil"/>
              <w:left w:val="single" w:sz="4" w:space="0" w:color="auto"/>
              <w:bottom w:val="single" w:sz="4" w:space="0" w:color="auto"/>
              <w:right w:val="nil"/>
            </w:tcBorders>
            <w:noWrap/>
            <w:vAlign w:val="bottom"/>
            <w:hideMark/>
          </w:tcPr>
          <w:p w14:paraId="41BF0966" w14:textId="77777777" w:rsidR="009733F2" w:rsidRPr="009733F2" w:rsidRDefault="009733F2" w:rsidP="009733F2">
            <w:pPr>
              <w:spacing w:after="0" w:line="240" w:lineRule="auto"/>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533" w:type="pct"/>
            <w:tcBorders>
              <w:top w:val="nil"/>
              <w:left w:val="single" w:sz="4" w:space="0" w:color="auto"/>
              <w:bottom w:val="single" w:sz="4" w:space="0" w:color="auto"/>
              <w:right w:val="single" w:sz="4" w:space="0" w:color="auto"/>
            </w:tcBorders>
            <w:noWrap/>
            <w:vAlign w:val="bottom"/>
            <w:hideMark/>
          </w:tcPr>
          <w:p w14:paraId="58D85A8E" w14:textId="77777777" w:rsidR="009733F2" w:rsidRPr="009733F2" w:rsidRDefault="009733F2" w:rsidP="009733F2">
            <w:pPr>
              <w:spacing w:after="0" w:line="240" w:lineRule="auto"/>
              <w:rPr>
                <w:rFonts w:ascii="Univers 57 Condensed" w:eastAsia="Times New Roman" w:hAnsi="Univers 57 Condensed" w:cs="Times New Roman"/>
                <w:b/>
                <w:bCs/>
                <w:color w:val="000000"/>
                <w:sz w:val="22"/>
                <w:szCs w:val="22"/>
              </w:rPr>
            </w:pPr>
            <w:r w:rsidRPr="009733F2">
              <w:rPr>
                <w:rFonts w:ascii="Univers 57 Condensed" w:eastAsia="Times New Roman" w:hAnsi="Univers 57 Condensed" w:cs="Times New Roman"/>
                <w:b/>
                <w:bCs/>
                <w:color w:val="000000"/>
                <w:sz w:val="22"/>
                <w:szCs w:val="22"/>
              </w:rPr>
              <w:t>Taeouma Basin</w:t>
            </w:r>
          </w:p>
        </w:tc>
        <w:tc>
          <w:tcPr>
            <w:tcW w:w="378" w:type="pct"/>
            <w:tcBorders>
              <w:top w:val="nil"/>
              <w:left w:val="nil"/>
              <w:bottom w:val="single" w:sz="4" w:space="0" w:color="auto"/>
              <w:right w:val="single" w:sz="4" w:space="0" w:color="auto"/>
            </w:tcBorders>
            <w:noWrap/>
            <w:vAlign w:val="bottom"/>
            <w:hideMark/>
          </w:tcPr>
          <w:p w14:paraId="7F16E4E1"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399" w:type="pct"/>
            <w:tcBorders>
              <w:top w:val="nil"/>
              <w:left w:val="nil"/>
              <w:bottom w:val="single" w:sz="4" w:space="0" w:color="auto"/>
              <w:right w:val="nil"/>
            </w:tcBorders>
            <w:noWrap/>
            <w:vAlign w:val="bottom"/>
            <w:hideMark/>
          </w:tcPr>
          <w:p w14:paraId="2C579023"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529" w:type="pct"/>
            <w:tcBorders>
              <w:top w:val="nil"/>
              <w:left w:val="single" w:sz="4" w:space="0" w:color="auto"/>
              <w:bottom w:val="single" w:sz="4" w:space="0" w:color="auto"/>
              <w:right w:val="single" w:sz="4" w:space="0" w:color="auto"/>
            </w:tcBorders>
            <w:noWrap/>
            <w:vAlign w:val="bottom"/>
            <w:hideMark/>
          </w:tcPr>
          <w:p w14:paraId="3641670E"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441" w:type="pct"/>
            <w:tcBorders>
              <w:top w:val="nil"/>
              <w:left w:val="nil"/>
              <w:bottom w:val="single" w:sz="4" w:space="0" w:color="auto"/>
              <w:right w:val="nil"/>
            </w:tcBorders>
            <w:noWrap/>
            <w:vAlign w:val="bottom"/>
            <w:hideMark/>
          </w:tcPr>
          <w:p w14:paraId="061B63D9"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Univers 57 Condensed" w:eastAsia="Times New Roman" w:hAnsi="Univers 57 Condensed" w:cs="Times New Roman"/>
                <w:color w:val="000000"/>
                <w:sz w:val="22"/>
                <w:szCs w:val="22"/>
              </w:rPr>
              <w:t>x</w:t>
            </w:r>
          </w:p>
        </w:tc>
        <w:tc>
          <w:tcPr>
            <w:tcW w:w="542" w:type="pct"/>
            <w:tcBorders>
              <w:top w:val="nil"/>
              <w:left w:val="single" w:sz="4" w:space="0" w:color="auto"/>
              <w:bottom w:val="single" w:sz="4" w:space="0" w:color="auto"/>
              <w:right w:val="single" w:sz="4" w:space="0" w:color="auto"/>
            </w:tcBorders>
            <w:noWrap/>
            <w:vAlign w:val="bottom"/>
            <w:hideMark/>
          </w:tcPr>
          <w:p w14:paraId="63D2348D"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621" w:type="pct"/>
            <w:tcBorders>
              <w:top w:val="nil"/>
              <w:left w:val="nil"/>
              <w:bottom w:val="single" w:sz="4" w:space="0" w:color="auto"/>
              <w:right w:val="single" w:sz="4" w:space="0" w:color="auto"/>
            </w:tcBorders>
            <w:noWrap/>
            <w:vAlign w:val="bottom"/>
            <w:hideMark/>
          </w:tcPr>
          <w:p w14:paraId="1236F252"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357" w:type="pct"/>
            <w:tcBorders>
              <w:top w:val="nil"/>
              <w:left w:val="nil"/>
              <w:bottom w:val="single" w:sz="4" w:space="0" w:color="auto"/>
              <w:right w:val="single" w:sz="4" w:space="0" w:color="auto"/>
            </w:tcBorders>
            <w:noWrap/>
            <w:vAlign w:val="bottom"/>
            <w:hideMark/>
          </w:tcPr>
          <w:p w14:paraId="60FAF93F"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c>
          <w:tcPr>
            <w:tcW w:w="386" w:type="pct"/>
            <w:tcBorders>
              <w:top w:val="nil"/>
              <w:left w:val="nil"/>
              <w:bottom w:val="single" w:sz="4" w:space="0" w:color="auto"/>
              <w:right w:val="single" w:sz="4" w:space="0" w:color="auto"/>
            </w:tcBorders>
            <w:noWrap/>
            <w:vAlign w:val="bottom"/>
            <w:hideMark/>
          </w:tcPr>
          <w:p w14:paraId="1738CE57" w14:textId="77777777" w:rsidR="009733F2" w:rsidRPr="009733F2" w:rsidRDefault="009733F2" w:rsidP="009733F2">
            <w:pPr>
              <w:spacing w:after="0" w:line="240" w:lineRule="auto"/>
              <w:jc w:val="center"/>
              <w:rPr>
                <w:rFonts w:ascii="Univers 57 Condensed" w:eastAsia="Times New Roman" w:hAnsi="Univers 57 Condensed" w:cs="Times New Roman"/>
                <w:color w:val="000000"/>
                <w:sz w:val="22"/>
                <w:szCs w:val="22"/>
              </w:rPr>
            </w:pPr>
            <w:r w:rsidRPr="009733F2">
              <w:rPr>
                <w:rFonts w:ascii="Calibri" w:eastAsia="Times New Roman" w:hAnsi="Calibri" w:cs="Calibri"/>
                <w:color w:val="000000"/>
                <w:sz w:val="22"/>
                <w:szCs w:val="22"/>
              </w:rPr>
              <w:t> </w:t>
            </w:r>
          </w:p>
        </w:tc>
      </w:tr>
    </w:tbl>
    <w:p w14:paraId="2F7D41F7" w14:textId="77777777" w:rsidR="00D53AF5" w:rsidRPr="003E1F8B" w:rsidRDefault="00D53AF5" w:rsidP="003E1F8B">
      <w:pPr>
        <w:pStyle w:val="BodyText"/>
        <w:ind w:firstLine="0"/>
        <w:rPr>
          <w:rFonts w:ascii="Univers 57 Condensed" w:hAnsi="Univers 57 Condensed"/>
          <w:sz w:val="22"/>
          <w:szCs w:val="22"/>
        </w:rPr>
      </w:pPr>
    </w:p>
    <w:p w14:paraId="39A20442" w14:textId="03222C51" w:rsidR="00DB19A6" w:rsidRDefault="00583E5F" w:rsidP="00FF4D93">
      <w:pPr>
        <w:pStyle w:val="BodyText"/>
      </w:pPr>
      <w:r>
        <w:t>The hydrologic assessment</w:t>
      </w:r>
      <w:r w:rsidR="00CA4657">
        <w:t xml:space="preserve">s </w:t>
      </w:r>
      <w:r w:rsidR="00027748">
        <w:t xml:space="preserve">examined the core components of the water balance across the study region. Precipitation and </w:t>
      </w:r>
      <w:r w:rsidR="008C150B">
        <w:t xml:space="preserve">evapotranspiration were used in this analysis, providing a </w:t>
      </w:r>
      <w:proofErr w:type="gramStart"/>
      <w:r w:rsidR="008C150B">
        <w:t>first-order</w:t>
      </w:r>
      <w:proofErr w:type="gramEnd"/>
      <w:r w:rsidR="008C150B">
        <w:t xml:space="preserve"> understanding of how much water enters and leaves island systems over time.</w:t>
      </w:r>
      <w:r w:rsidR="002D2764">
        <w:t xml:space="preserve"> The </w:t>
      </w:r>
      <w:r w:rsidR="00B76422">
        <w:t>Integrated Multi-</w:t>
      </w:r>
      <w:proofErr w:type="gramStart"/>
      <w:r w:rsidR="00B76422">
        <w:t>satellitE</w:t>
      </w:r>
      <w:proofErr w:type="gramEnd"/>
      <w:r w:rsidR="00B76422">
        <w:t xml:space="preserve"> Retrievals for GPM (IMERG) </w:t>
      </w:r>
      <w:r w:rsidR="00841A38">
        <w:t xml:space="preserve">precipitation data set was used due to its </w:t>
      </w:r>
      <w:r w:rsidR="00532ADA">
        <w:t xml:space="preserve">high spatial resolution (0.1°) and high temporal resolution (30-minute to daily intervals) since 1998 including the entire study region. </w:t>
      </w:r>
      <w:r w:rsidR="00584435">
        <w:t>T</w:t>
      </w:r>
      <w:r w:rsidR="00FE5F62">
        <w:t>he operational Simplified</w:t>
      </w:r>
      <w:r w:rsidR="00BD781D">
        <w:t xml:space="preserve"> Surface Energy Balance (SSEBop) model</w:t>
      </w:r>
      <w:r w:rsidR="003E6575">
        <w:t xml:space="preserve"> </w:t>
      </w:r>
      <w:r w:rsidR="00BD781D">
        <w:t xml:space="preserve">was used to </w:t>
      </w:r>
      <w:r w:rsidR="006D1D97">
        <w:t xml:space="preserve">determine evaporative demand for each study location. </w:t>
      </w:r>
      <w:r w:rsidR="00B76588">
        <w:t xml:space="preserve">The </w:t>
      </w:r>
      <w:r w:rsidR="00D83D09">
        <w:t>model is a USGS product that provides a global, satellite-derived</w:t>
      </w:r>
      <w:r w:rsidR="00A47679">
        <w:t xml:space="preserve"> </w:t>
      </w:r>
      <w:r w:rsidR="002E66CA">
        <w:t>actual</w:t>
      </w:r>
      <w:r w:rsidR="00A47679">
        <w:t xml:space="preserve"> </w:t>
      </w:r>
      <w:r w:rsidR="002E66CA">
        <w:t>evapotranspiration</w:t>
      </w:r>
      <w:r w:rsidR="00A47679">
        <w:t xml:space="preserve"> (ETa) by combining thermal observations </w:t>
      </w:r>
      <w:r w:rsidR="00293B55">
        <w:t>with reference ET from gridded climate data sets</w:t>
      </w:r>
      <w:r w:rsidR="00605B70">
        <w:t xml:space="preserve">. The data has a spatial resolution </w:t>
      </w:r>
      <w:proofErr w:type="gramStart"/>
      <w:r w:rsidR="00605B70">
        <w:t xml:space="preserve">of  </w:t>
      </w:r>
      <w:r w:rsidR="00742955">
        <w:t>0</w:t>
      </w:r>
      <w:proofErr w:type="gramEnd"/>
      <w:r w:rsidR="00742955">
        <w:t>.01° and a temporal resolution of every dekad (</w:t>
      </w:r>
      <w:r w:rsidR="00881F58">
        <w:t>10 days</w:t>
      </w:r>
      <w:r w:rsidR="0049020F">
        <w:t>)</w:t>
      </w:r>
      <w:r w:rsidR="000866AC">
        <w:t xml:space="preserve"> since 2012</w:t>
      </w:r>
      <w:r w:rsidR="00E225AC">
        <w:t>.</w:t>
      </w:r>
      <w:r w:rsidR="002E66CA">
        <w:t xml:space="preserve"> </w:t>
      </w:r>
    </w:p>
    <w:p w14:paraId="40F11565" w14:textId="2D07B5F8" w:rsidR="001E30D7" w:rsidRDefault="0051007C" w:rsidP="001E30D7">
      <w:pPr>
        <w:pStyle w:val="BodyText"/>
      </w:pPr>
      <w:r>
        <w:t xml:space="preserve">Those </w:t>
      </w:r>
      <w:r w:rsidR="00CB2874">
        <w:t xml:space="preserve">two data sources provided the </w:t>
      </w:r>
      <w:r w:rsidR="005327A3">
        <w:t>basis</w:t>
      </w:r>
      <w:r w:rsidR="00CB2874">
        <w:t xml:space="preserve"> </w:t>
      </w:r>
      <w:r w:rsidR="004D67D1">
        <w:t xml:space="preserve">for the water balance assessment. </w:t>
      </w:r>
      <w:r w:rsidR="001E30D7" w:rsidRPr="001E30D7">
        <w:t>By comparing long</w:t>
      </w:r>
      <w:r w:rsidR="001E30D7" w:rsidRPr="001E30D7">
        <w:noBreakHyphen/>
        <w:t xml:space="preserve">term averages with recent observations, the report highlights where climatic </w:t>
      </w:r>
      <w:r w:rsidR="009B2FE5" w:rsidRPr="001E30D7">
        <w:t>shifts,</w:t>
      </w:r>
      <w:r w:rsidR="001E30D7" w:rsidRPr="001E30D7">
        <w:t xml:space="preserve"> or seasonal extremes may be altering the reliability of freshwater supplies. These datasets also reveal gaps in monitoring coverage, with many islands lacking consistent rainfall records, evaporation measurements, or streamflow observations. Addressing these gaps is essential for improving early warning capabilities and for designing infrastructure that matches local hydrologic realities. </w:t>
      </w:r>
    </w:p>
    <w:p w14:paraId="5B5C13B2" w14:textId="48C12261" w:rsidR="00D35EC5" w:rsidRDefault="00D35EC5" w:rsidP="006E3D43">
      <w:pPr>
        <w:ind w:firstLine="720"/>
      </w:pPr>
      <w:r>
        <w:lastRenderedPageBreak/>
        <w:t>Drought monitoring was conducted for selected study sites (Table 1) to provide a systematic, satellite-based assessment of rainfall deficits relative to long-term climatic norms. The monitoring system uses NASA’s Integrated Multi-</w:t>
      </w:r>
      <w:proofErr w:type="spellStart"/>
      <w:r>
        <w:t>satellitE</w:t>
      </w:r>
      <w:proofErr w:type="spellEnd"/>
      <w:r>
        <w:t xml:space="preserve"> Retrievals for GPM (IMERG) monthly precipitation data to compute rolling Rainfall Indices over 1-month, 3-month, and 6-month accumulation windows. Each index compares recent observed precipitation against a 25-year</w:t>
      </w:r>
      <w:r w:rsidR="000506D2">
        <w:t xml:space="preserve"> (</w:t>
      </w:r>
      <w:r w:rsidR="009A4892">
        <w:t>2000</w:t>
      </w:r>
      <w:r w:rsidR="000506D2">
        <w:t>-20</w:t>
      </w:r>
      <w:r w:rsidR="009A4892">
        <w:t>24</w:t>
      </w:r>
      <w:r w:rsidR="00D630B8">
        <w:t>)</w:t>
      </w:r>
      <w:r>
        <w:t xml:space="preserve"> baseline period to identify the onset, persistence, and severity of meteorological drought conditions. By examining multiple accumulation windows, the system captures both short-duration rainfall deficits that affect day-to-day water supply operations and longer-duration anomalies that signal more sustained hydrologic stress. The site-specific rainfall indices provide water managers and utility operators with a clear, quantitative basis for assessing current drought severity and anticipating emerging water supply challenges before they become critical.</w:t>
      </w:r>
    </w:p>
    <w:p w14:paraId="766C7165" w14:textId="3B66AF76" w:rsidR="00D35EC5" w:rsidRDefault="00D35EC5" w:rsidP="006E3D43">
      <w:pPr>
        <w:ind w:firstLine="720"/>
      </w:pPr>
      <w:r>
        <w:t xml:space="preserve">Complementing the backward-looking drought monitoring, a 7-day precipitation forecasting system was developed for selected study sites (Table 1) to provide near-term operational guidance on expected rainfall. The system retrieves forecast data from the </w:t>
      </w:r>
      <w:r w:rsidR="230E70FC">
        <w:t>United States</w:t>
      </w:r>
      <w:r>
        <w:t xml:space="preserve"> National Oceanic and Atmospheric Administration’s (NOAA) Global Forecast System (GFS), a global numerical weather prediction model that produces gridded forecasts at 0.25° spatial resolution, updated four times daily. For each study site, the system extracts daily </w:t>
      </w:r>
      <w:proofErr w:type="gramStart"/>
      <w:r>
        <w:t>accumulated precipitation</w:t>
      </w:r>
      <w:proofErr w:type="gramEnd"/>
      <w:r>
        <w:t xml:space="preserve"> forecasts for the upcoming seven days, generating both spatial forecast maps showing the geographic distribution of expected rainfall around each location and summary bar charts that distill the forecast into an accessible, site-level view of anticipated conditions. The forecasts are compiled into automated reports and distributed to designated recipients via email, enabling water managers and utility operators to incorporate short-range </w:t>
      </w:r>
      <w:r>
        <w:lastRenderedPageBreak/>
        <w:t>rainfall expectations into their daily planning and operational decisions. This forward-looking capability fills a critical gap in water management across the Pacific, where sparse ground-based weather station networks and limited access to numerical weather prediction products have historically left many island communities without reliable short-term rainfall outlooks.</w:t>
      </w:r>
    </w:p>
    <w:p w14:paraId="394738D0" w14:textId="79D444F4" w:rsidR="00D35EC5" w:rsidRDefault="00D35EC5" w:rsidP="006E3D43">
      <w:pPr>
        <w:ind w:firstLine="720"/>
      </w:pPr>
      <w:r>
        <w:t>Informal settlement mapping was conducted for urban study sites</w:t>
      </w:r>
      <w:r w:rsidR="1E7AAD62">
        <w:t xml:space="preserve"> selected by ADB</w:t>
      </w:r>
      <w:r>
        <w:t xml:space="preserve"> (Table 1) to characterize the spatial extent and growth patterns of unplanned or informal housing areas that are particularly vulnerable to water supply disruptions and climate-related hazards. The mapping approach uses deep learning-based building footprint extraction applied to high-resolution satellite imagery across multiple temporal epochs, spanning approximately 2005 to 2025, to quantify changes in building density and settlement expansion over time. Individual building footprints were extracted from satellite scenes using pretrained convolutional neural network models, and the results were refined through a standardized post-processing workflow that included area-based filtering to remove spurious detections and geometric regularization to produce clean, orthogonal building outlines. By comparing footprint counts, total built-up area, and spatial distributions across epochs, the analysis reveals where and how rapidly informal settlements have expanded, providing planners and infrastructure agencies with an empirical basis for targeting water supply investments, assessing infrastructure demand, and understanding population growth pressures in areas that are often poorly documented by conventional census or cadastral records.</w:t>
      </w:r>
    </w:p>
    <w:p w14:paraId="5292094C" w14:textId="555ACAE9" w:rsidR="00A443BF" w:rsidRDefault="00A443BF" w:rsidP="00A443BF">
      <w:pPr>
        <w:pStyle w:val="BodyText"/>
      </w:pPr>
      <w:r w:rsidRPr="007915D9">
        <w:t>The following volumes</w:t>
      </w:r>
      <w:r w:rsidR="00F61DFC" w:rsidRPr="007915D9">
        <w:t xml:space="preserve"> of this report</w:t>
      </w:r>
      <w:r w:rsidRPr="007915D9">
        <w:t xml:space="preserve"> present the individual details of these investigations organized by nation and island. This format</w:t>
      </w:r>
      <w:r>
        <w:t xml:space="preserve"> will allow for adding more results in the future if desired.</w:t>
      </w:r>
    </w:p>
    <w:p w14:paraId="43A3A9AD" w14:textId="77777777" w:rsidR="009B2FE5" w:rsidRDefault="009B2FE5" w:rsidP="009B2FE5">
      <w:pPr>
        <w:pStyle w:val="BodyText"/>
      </w:pPr>
    </w:p>
    <w:p w14:paraId="455EA8A4" w14:textId="1DB4FEE7" w:rsidR="00DA6B7A" w:rsidRDefault="006667EA" w:rsidP="00DA6B7A">
      <w:pPr>
        <w:pStyle w:val="Head1"/>
      </w:pPr>
      <w:bookmarkStart w:id="33" w:name="_Toc228290430"/>
      <w:r>
        <w:lastRenderedPageBreak/>
        <w:t>Methods</w:t>
      </w:r>
      <w:bookmarkEnd w:id="33"/>
    </w:p>
    <w:p w14:paraId="155F415D" w14:textId="7E0AB6DE" w:rsidR="00A50500" w:rsidRDefault="00D104C5" w:rsidP="00FD69D4">
      <w:pPr>
        <w:pStyle w:val="BodyText"/>
        <w:autoSpaceDE w:val="0"/>
        <w:autoSpaceDN w:val="0"/>
        <w:adjustRightInd w:val="0"/>
      </w:pPr>
      <w:r w:rsidRPr="00A50500">
        <w:t>The methods used in this study integrate multiple data sources and analytical approaches to evaluate hydrologic conditions across the</w:t>
      </w:r>
      <w:r w:rsidR="00D2522D" w:rsidRPr="00A50500">
        <w:t xml:space="preserve"> different </w:t>
      </w:r>
      <w:r w:rsidR="007E0DD9" w:rsidRPr="00A50500">
        <w:t>study sites</w:t>
      </w:r>
      <w:r w:rsidRPr="00A50500">
        <w:t xml:space="preserve">. Satellite‑derived precipitation and evapotranspiration products, ground‑based rainfall observations, and supporting geophysical information were combined to characterize water availability, drought severity, and long‑term climatic variability. Standardized procedures were applied to process, validate, and compare datasets, and water‑balance calculations were used to quantify net </w:t>
      </w:r>
      <w:r w:rsidR="007E0DD9" w:rsidRPr="00A50500">
        <w:t>water availability</w:t>
      </w:r>
      <w:r w:rsidRPr="00A50500">
        <w:t>. The following sections describe the datasets, processing steps, and analytical techniques employed to develop a consistent and scientifically robust assessment of the islands’ hydrologic status.</w:t>
      </w:r>
    </w:p>
    <w:p w14:paraId="5FCCFECC" w14:textId="77777777" w:rsidR="00276E97" w:rsidRDefault="00276E97" w:rsidP="00FD69D4">
      <w:pPr>
        <w:pStyle w:val="BodyNoIndent"/>
      </w:pPr>
    </w:p>
    <w:p w14:paraId="51DDCC56" w14:textId="182FAD55" w:rsidR="006A110F" w:rsidRPr="00817B66" w:rsidRDefault="006A110F" w:rsidP="00817B66">
      <w:pPr>
        <w:pStyle w:val="Head2"/>
      </w:pPr>
      <w:bookmarkStart w:id="34" w:name="_Toc228290431"/>
      <w:r w:rsidRPr="00817B66">
        <w:t>Applications</w:t>
      </w:r>
      <w:r w:rsidR="00B32019" w:rsidRPr="00817B66">
        <w:t xml:space="preserve"> of Remote Sensing for Water Assessments</w:t>
      </w:r>
      <w:bookmarkEnd w:id="34"/>
    </w:p>
    <w:p w14:paraId="01F4A50A" w14:textId="78194BC0" w:rsidR="00C64B18" w:rsidRDefault="00C64B18" w:rsidP="00C64B18">
      <w:pPr>
        <w:pStyle w:val="BodyText"/>
      </w:pPr>
      <w:r>
        <w:t xml:space="preserve">Using remote sensing </w:t>
      </w:r>
      <w:r w:rsidR="0003779D">
        <w:t xml:space="preserve">data sets </w:t>
      </w:r>
      <w:r>
        <w:t>for water assessments is well established</w:t>
      </w:r>
      <w:r w:rsidR="00B932BF">
        <w:t xml:space="preserve"> in recent years</w:t>
      </w:r>
      <w:r>
        <w:t xml:space="preserve"> (e.g., Lin and Song, 2026; Che et al., 2025; Bijeesh and Narasimhamurthy, 2020; Hou et al., 2020).</w:t>
      </w:r>
      <w:r w:rsidR="00EB7886">
        <w:t xml:space="preserve"> </w:t>
      </w:r>
      <w:r w:rsidR="007C153F">
        <w:t>But remote sensing has played an important role in water assessments for more than half a century</w:t>
      </w:r>
      <w:r w:rsidR="009D7910">
        <w:t xml:space="preserve">, </w:t>
      </w:r>
      <w:r w:rsidR="00211F01">
        <w:t>evolving</w:t>
      </w:r>
      <w:r w:rsidR="009D7910">
        <w:t xml:space="preserve"> from simple arial photography to today’s satellite-based monitoring systems.</w:t>
      </w:r>
      <w:r w:rsidR="00211F01">
        <w:t xml:space="preserve"> Early applications</w:t>
      </w:r>
      <w:r w:rsidR="00211F01" w:rsidDel="00F06AF3">
        <w:t xml:space="preserve"> </w:t>
      </w:r>
      <w:r w:rsidR="00211F01">
        <w:t>in the 1960’s and 1970’s relied on aircraft im</w:t>
      </w:r>
      <w:r w:rsidR="00722287">
        <w:t xml:space="preserve">agery to </w:t>
      </w:r>
      <w:proofErr w:type="gramStart"/>
      <w:r w:rsidR="00722287">
        <w:t>map</w:t>
      </w:r>
      <w:proofErr w:type="gramEnd"/>
      <w:r w:rsidR="00722287">
        <w:t xml:space="preserve"> </w:t>
      </w:r>
      <w:r w:rsidR="000A1006">
        <w:t xml:space="preserve">for </w:t>
      </w:r>
      <w:proofErr w:type="gramStart"/>
      <w:r w:rsidR="000A1006">
        <w:t>example</w:t>
      </w:r>
      <w:proofErr w:type="gramEnd"/>
      <w:r w:rsidR="000A1006">
        <w:t xml:space="preserve"> </w:t>
      </w:r>
      <w:r w:rsidR="00722287">
        <w:t>surface water extent</w:t>
      </w:r>
      <w:r w:rsidR="000A1006">
        <w:t>.</w:t>
      </w:r>
      <w:r w:rsidR="00211F01">
        <w:t xml:space="preserve"> </w:t>
      </w:r>
      <w:r w:rsidR="000A1006">
        <w:t xml:space="preserve">As </w:t>
      </w:r>
      <w:r w:rsidR="00D56F6D">
        <w:t>satellite</w:t>
      </w:r>
      <w:r w:rsidR="000A1006">
        <w:t xml:space="preserve"> programs such as Landsat</w:t>
      </w:r>
      <w:r w:rsidR="00D56F6D">
        <w:t xml:space="preserve"> matured, </w:t>
      </w:r>
      <w:r w:rsidR="00C83269">
        <w:t xml:space="preserve">the ability to track changes in water bodies and rivers </w:t>
      </w:r>
      <w:r w:rsidR="00321348">
        <w:t xml:space="preserve">with repeatable and consistent observations increased the utility of </w:t>
      </w:r>
      <w:r w:rsidR="008D1434">
        <w:t xml:space="preserve">these data. </w:t>
      </w:r>
      <w:r w:rsidR="00D56C2A" w:rsidRPr="00D56C2A">
        <w:t xml:space="preserve">Over time, advances in spectral sensors and thermal imaging opened the door to estimating water quality, detecting sediment and algal blooms, and inferring evapotranspiration and soil moisture from space. These developments expanded the scope of hydrologic studies, enabling assessments of water availability, drought severity, and long‑term environmental </w:t>
      </w:r>
      <w:r w:rsidR="00D56C2A" w:rsidRPr="00D56C2A">
        <w:lastRenderedPageBreak/>
        <w:t xml:space="preserve">change across regions where ground‑based measurements were sparse or nonexistent. Remote sensing now </w:t>
      </w:r>
      <w:r w:rsidR="00A80392">
        <w:t>the foundation of</w:t>
      </w:r>
      <w:r w:rsidR="00D56C2A" w:rsidRPr="00D56C2A">
        <w:t xml:space="preserve"> many modern water‑resource evaluations, offering broad spatial coverage, historical depth, and the ability to integrate with models and in‑situ data to support planning and management</w:t>
      </w:r>
      <w:r w:rsidR="00D54A1A">
        <w:t xml:space="preserve"> of water resources</w:t>
      </w:r>
      <w:r w:rsidR="00D56C2A" w:rsidRPr="00D56C2A">
        <w:t>.</w:t>
      </w:r>
    </w:p>
    <w:p w14:paraId="516ADDC0" w14:textId="372958B8" w:rsidR="006A110F" w:rsidRDefault="006A110F" w:rsidP="003E1F8B">
      <w:pPr>
        <w:pStyle w:val="Head3"/>
      </w:pPr>
      <w:bookmarkStart w:id="35" w:name="_Toc228290432"/>
      <w:r>
        <w:t>Precipitation</w:t>
      </w:r>
      <w:bookmarkEnd w:id="35"/>
    </w:p>
    <w:p w14:paraId="16BFE551" w14:textId="28C449A2" w:rsidR="00151486" w:rsidRDefault="00E33A6E" w:rsidP="00AE5629">
      <w:pPr>
        <w:pStyle w:val="BodyText"/>
        <w:ind w:firstLine="0"/>
      </w:pPr>
      <w:r w:rsidRPr="00E33A6E">
        <w:t>Satellite precipitation products such as IMERG</w:t>
      </w:r>
      <w:r w:rsidR="00FF2349">
        <w:t>, TRMM</w:t>
      </w:r>
      <w:r w:rsidR="29137337">
        <w:t>,</w:t>
      </w:r>
      <w:r w:rsidR="00FF2349">
        <w:t xml:space="preserve"> and CHIRPS </w:t>
      </w:r>
      <w:r w:rsidRPr="00E33A6E">
        <w:t>have been widely used to quantify rainfall patterns, assess storm intensity, and evaluate long‑term climate variability. These datasets are especially valuable in small island and coastal environments where rainfall can vary sharply over short distances and where gauge networks are often limited to a single station. Numerous studies have demonstrated the utility of satellite rainfall estimates for drought monitoring, flood forecasting, and water‑balance modeling, showing strong agreement with gauge observations when properly validated.</w:t>
      </w:r>
      <w:r w:rsidR="00AE5629">
        <w:t xml:space="preserve"> </w:t>
      </w:r>
    </w:p>
    <w:p w14:paraId="379D379A" w14:textId="1725198E" w:rsidR="00EF7C42" w:rsidRDefault="00CB05FA" w:rsidP="00CB05FA">
      <w:pPr>
        <w:ind w:firstLine="720"/>
      </w:pPr>
      <w:r w:rsidRPr="003E1F8B">
        <w:rPr>
          <w:rFonts w:cs="Times New Roman"/>
          <w:color w:val="000000"/>
        </w:rPr>
        <w:t>We selected the IMERG dataset for this project due to its availability across all small islands in the study area and its near-real-time temporal resolution. IMERG provides three processing runs: (1) Early Run (≈4-hour latency) for real-time applications like flood monitoring, (2) Late Run (≈12-hour latency) for improved accuracy, and (3) Final Run (≈3-month latency) for research-quality data. Each product was utilized for different analyses.</w:t>
      </w:r>
      <w:r w:rsidR="007179E5">
        <w:rPr>
          <w:rFonts w:cs="Times New Roman"/>
          <w:color w:val="000000"/>
        </w:rPr>
        <w:t xml:space="preserve"> </w:t>
      </w:r>
      <w:r w:rsidR="007179E5">
        <w:t xml:space="preserve">The annual </w:t>
      </w:r>
      <w:r w:rsidR="00BB1D4B">
        <w:t>mean</w:t>
      </w:r>
      <w:r w:rsidR="007179E5">
        <w:t xml:space="preserve"> for </w:t>
      </w:r>
      <w:r w:rsidR="00780B3E">
        <w:t xml:space="preserve">the </w:t>
      </w:r>
      <w:r w:rsidR="00A247E7">
        <w:t>period</w:t>
      </w:r>
      <w:r w:rsidR="00780B3E">
        <w:t xml:space="preserve"> of </w:t>
      </w:r>
      <w:r w:rsidR="00197BC5">
        <w:t>2015</w:t>
      </w:r>
      <w:r w:rsidR="001F14B9">
        <w:t xml:space="preserve"> - </w:t>
      </w:r>
      <w:r w:rsidR="007179E5">
        <w:t xml:space="preserve">2024 </w:t>
      </w:r>
      <w:r w:rsidR="00860A98">
        <w:t xml:space="preserve">for the Late Run </w:t>
      </w:r>
      <w:r w:rsidR="00A12BAD">
        <w:t xml:space="preserve">dataset </w:t>
      </w:r>
      <w:r w:rsidR="004D2E84">
        <w:t>high</w:t>
      </w:r>
      <w:r w:rsidR="009D207D">
        <w:t>light</w:t>
      </w:r>
      <w:r w:rsidR="0036277A">
        <w:t xml:space="preserve">s </w:t>
      </w:r>
      <w:r w:rsidR="009D207D">
        <w:t>the regional</w:t>
      </w:r>
      <w:r w:rsidR="0065134A">
        <w:t xml:space="preserve"> variation</w:t>
      </w:r>
      <w:r w:rsidR="005E08E0">
        <w:t xml:space="preserve"> </w:t>
      </w:r>
      <w:r w:rsidR="001254C2">
        <w:t>of precipitation</w:t>
      </w:r>
      <w:r w:rsidR="0036277A">
        <w:t xml:space="preserve"> (Figure</w:t>
      </w:r>
      <w:r w:rsidR="007A15E9">
        <w:t xml:space="preserve"> 2</w:t>
      </w:r>
      <w:r w:rsidR="0036277A">
        <w:t>).</w:t>
      </w:r>
    </w:p>
    <w:p w14:paraId="3ABD0FA1" w14:textId="77777777" w:rsidR="009B3D5A" w:rsidRDefault="009B3D5A" w:rsidP="00CB05FA">
      <w:pPr>
        <w:ind w:firstLine="720"/>
        <w:rPr>
          <w:noProof/>
        </w:rPr>
      </w:pPr>
    </w:p>
    <w:p w14:paraId="2B6CBDCF" w14:textId="77777777" w:rsidR="009B3D5A" w:rsidRDefault="009B3D5A" w:rsidP="00CB05FA">
      <w:pPr>
        <w:ind w:firstLine="720"/>
        <w:rPr>
          <w:noProof/>
        </w:rPr>
      </w:pPr>
    </w:p>
    <w:p w14:paraId="2515A485" w14:textId="77777777" w:rsidR="009B3D5A" w:rsidRDefault="009B3D5A" w:rsidP="00CB05FA">
      <w:pPr>
        <w:ind w:firstLine="720"/>
        <w:rPr>
          <w:noProof/>
        </w:rPr>
      </w:pPr>
    </w:p>
    <w:p w14:paraId="751FB2E3" w14:textId="73BC97BA" w:rsidR="002E304C" w:rsidRDefault="00C51D4A" w:rsidP="003E1F8B">
      <w:r>
        <w:rPr>
          <w:noProof/>
        </w:rPr>
        <w:lastRenderedPageBreak/>
        <w:drawing>
          <wp:inline distT="0" distB="0" distL="0" distR="0" wp14:anchorId="097A9919" wp14:editId="191EC64A">
            <wp:extent cx="6583861" cy="6091103"/>
            <wp:effectExtent l="0" t="0" r="7620" b="5080"/>
            <wp:docPr id="290460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46022" name="Picture 1"/>
                    <pic:cNvPicPr/>
                  </pic:nvPicPr>
                  <pic:blipFill rotWithShape="1">
                    <a:blip r:embed="rId14"/>
                    <a:srcRect t="1" b="8498"/>
                    <a:stretch>
                      <a:fillRect/>
                    </a:stretch>
                  </pic:blipFill>
                  <pic:spPr bwMode="auto">
                    <a:xfrm>
                      <a:off x="0" y="0"/>
                      <a:ext cx="6593770" cy="6100270"/>
                    </a:xfrm>
                    <a:prstGeom prst="rect">
                      <a:avLst/>
                    </a:prstGeom>
                    <a:ln>
                      <a:noFill/>
                    </a:ln>
                    <a:extLst>
                      <a:ext uri="{53640926-AAD7-44D8-BBD7-CCE9431645EC}">
                        <a14:shadowObscured xmlns:a14="http://schemas.microsoft.com/office/drawing/2010/main"/>
                      </a:ext>
                    </a:extLst>
                  </pic:spPr>
                </pic:pic>
              </a:graphicData>
            </a:graphic>
          </wp:inline>
        </w:drawing>
      </w:r>
    </w:p>
    <w:p w14:paraId="3A4D0C18" w14:textId="547D31F7" w:rsidR="009B3D5A" w:rsidRDefault="009B3D5A" w:rsidP="003E1F8B">
      <w:pPr>
        <w:pStyle w:val="Caption"/>
      </w:pPr>
      <w:bookmarkStart w:id="36" w:name="_Toc228290761"/>
      <w:r>
        <w:t xml:space="preserve">Figure </w:t>
      </w:r>
      <w:r>
        <w:fldChar w:fldCharType="begin"/>
      </w:r>
      <w:r>
        <w:instrText xml:space="preserve"> SEQ Figure \* ARABIC </w:instrText>
      </w:r>
      <w:r>
        <w:fldChar w:fldCharType="separate"/>
      </w:r>
      <w:r w:rsidR="007A325D">
        <w:rPr>
          <w:noProof/>
        </w:rPr>
        <w:t>2</w:t>
      </w:r>
      <w:r>
        <w:fldChar w:fldCharType="end"/>
      </w:r>
      <w:r>
        <w:t>. Mean annual precipitation from 2015 - 2024 from IMERG Final Run dataset</w:t>
      </w:r>
      <w:r w:rsidR="009D36AF">
        <w:t xml:space="preserve">, </w:t>
      </w:r>
      <w:r w:rsidR="001D4B70">
        <w:t>displaying</w:t>
      </w:r>
      <w:r w:rsidR="009D36AF">
        <w:t xml:space="preserve"> </w:t>
      </w:r>
      <w:r w:rsidR="001D4B70">
        <w:t xml:space="preserve">lower values in </w:t>
      </w:r>
      <w:r w:rsidR="009D36AF">
        <w:t xml:space="preserve">light blue </w:t>
      </w:r>
      <w:r w:rsidR="001D4B70">
        <w:t xml:space="preserve">and higher values </w:t>
      </w:r>
      <w:r w:rsidR="009D36AF">
        <w:t>dark blue</w:t>
      </w:r>
      <w:r>
        <w:t>.</w:t>
      </w:r>
      <w:bookmarkEnd w:id="36"/>
    </w:p>
    <w:p w14:paraId="308C89A6" w14:textId="51C29618" w:rsidR="00D14AFB" w:rsidRDefault="00D14AFB" w:rsidP="00CB05FA">
      <w:pPr>
        <w:ind w:firstLine="720"/>
        <w:rPr>
          <w:rFonts w:cs="Times New Roman"/>
          <w:color w:val="000000"/>
        </w:rPr>
      </w:pPr>
    </w:p>
    <w:p w14:paraId="7DC75075" w14:textId="4F2B74C5" w:rsidR="00431184" w:rsidRPr="00817B66" w:rsidRDefault="00431184" w:rsidP="003E1F8B">
      <w:pPr>
        <w:pStyle w:val="Head4"/>
      </w:pPr>
      <w:bookmarkStart w:id="37" w:name="_Toc228290433"/>
      <w:r w:rsidRPr="00817B66">
        <w:lastRenderedPageBreak/>
        <w:t>A. Early Run</w:t>
      </w:r>
      <w:bookmarkEnd w:id="37"/>
    </w:p>
    <w:p w14:paraId="24B056C7" w14:textId="3DF0F524" w:rsidR="002C3AA6" w:rsidRDefault="00431184" w:rsidP="002C3AA6">
      <w:r w:rsidRPr="00431184">
        <w:t>The Early Run delivers IMERG precipitation data with roughly 4-hour latency, making it suitable for real-time applications such as flood monitoring.</w:t>
      </w:r>
      <w:r w:rsidR="00581074">
        <w:t xml:space="preserve"> </w:t>
      </w:r>
      <w:r w:rsidR="00894227">
        <w:t>T</w:t>
      </w:r>
      <w:r w:rsidR="00344B5B">
        <w:t xml:space="preserve">he </w:t>
      </w:r>
      <w:r w:rsidR="5EBC4E78">
        <w:t>United States</w:t>
      </w:r>
      <w:r w:rsidR="00344B5B">
        <w:t xml:space="preserve"> </w:t>
      </w:r>
      <w:r w:rsidR="00F862AE" w:rsidRPr="00F862AE">
        <w:t xml:space="preserve">National Aeronautics and Space Administration </w:t>
      </w:r>
      <w:r w:rsidR="00344B5B">
        <w:t xml:space="preserve">(NASA) </w:t>
      </w:r>
      <w:r w:rsidR="002E1DE5">
        <w:t xml:space="preserve">provides documentation on the data at </w:t>
      </w:r>
      <w:hyperlink r:id="rId15" w:history="1">
        <w:r w:rsidR="002E1DE5" w:rsidRPr="00872B00">
          <w:rPr>
            <w:rStyle w:val="Hyperlink"/>
          </w:rPr>
          <w:t>https://gpm.nasa.gov/data/directory</w:t>
        </w:r>
      </w:hyperlink>
      <w:r w:rsidR="002E1DE5">
        <w:t xml:space="preserve"> (last accessed 2/27/2026)</w:t>
      </w:r>
      <w:r w:rsidR="00537836">
        <w:t xml:space="preserve">. </w:t>
      </w:r>
      <w:r w:rsidR="00581074">
        <w:t xml:space="preserve">The data can be accessed </w:t>
      </w:r>
      <w:r w:rsidR="00537836">
        <w:t>from multiple locations</w:t>
      </w:r>
      <w:r w:rsidR="004402E8">
        <w:t>, here the following location was used:</w:t>
      </w:r>
      <w:r w:rsidR="00474587">
        <w:t xml:space="preserve"> </w:t>
      </w:r>
      <w:hyperlink r:id="rId16" w:history="1">
        <w:r w:rsidR="005A2725" w:rsidRPr="005A2725">
          <w:rPr>
            <w:rStyle w:val="Hyperlink"/>
          </w:rPr>
          <w:t>https://jsimpsonhttps.pps.eosdis.nasa.gov/imerg/</w:t>
        </w:r>
        <w:r w:rsidR="005A2725" w:rsidRPr="00872B00">
          <w:rPr>
            <w:rStyle w:val="Hyperlink"/>
          </w:rPr>
          <w:t>gis/early/</w:t>
        </w:r>
      </w:hyperlink>
      <w:r w:rsidR="005A2725">
        <w:t xml:space="preserve"> </w:t>
      </w:r>
      <w:r w:rsidR="003229F4">
        <w:t xml:space="preserve">(last accessed </w:t>
      </w:r>
      <w:r w:rsidR="004402E8">
        <w:t>2/27/2026)</w:t>
      </w:r>
      <w:r w:rsidR="00712E6F">
        <w:t xml:space="preserve">. The </w:t>
      </w:r>
      <w:r w:rsidR="00982969">
        <w:t>access requires a user to register for PPS (</w:t>
      </w:r>
      <w:r w:rsidR="003327AD" w:rsidRPr="003327AD">
        <w:t>Precipitation Processing System</w:t>
      </w:r>
      <w:r w:rsidR="00982969">
        <w:t xml:space="preserve">) data access at </w:t>
      </w:r>
      <w:r w:rsidR="003C6540" w:rsidRPr="003C6540">
        <w:t>http://registration.pps.eosdis.nasa.gov/registration/</w:t>
      </w:r>
      <w:r w:rsidR="003C6540">
        <w:t xml:space="preserve"> </w:t>
      </w:r>
      <w:r w:rsidR="00982969">
        <w:t>(last accessed 2/27/2026).</w:t>
      </w:r>
      <w:r w:rsidR="003327AD">
        <w:t xml:space="preserve"> </w:t>
      </w:r>
      <w:r w:rsidR="00E56E44">
        <w:t xml:space="preserve">The chosen data location provides the </w:t>
      </w:r>
      <w:r w:rsidR="005A2725">
        <w:t>data i</w:t>
      </w:r>
      <w:r w:rsidR="00E56E44">
        <w:t>n</w:t>
      </w:r>
      <w:r w:rsidR="005A2725">
        <w:t xml:space="preserve"> </w:t>
      </w:r>
      <w:r w:rsidR="002C3AA6">
        <w:t>30</w:t>
      </w:r>
      <w:r w:rsidR="006A3D72">
        <w:t>-</w:t>
      </w:r>
      <w:r w:rsidR="002C3AA6">
        <w:t>minute, 3</w:t>
      </w:r>
      <w:r w:rsidR="006A3D72">
        <w:t>-</w:t>
      </w:r>
      <w:r w:rsidR="002C3AA6">
        <w:t>hour, and 1</w:t>
      </w:r>
      <w:r w:rsidR="006A3D72">
        <w:t>-</w:t>
      </w:r>
      <w:r w:rsidR="002C3AA6">
        <w:t>day files a</w:t>
      </w:r>
      <w:r w:rsidR="00E56E44">
        <w:t>ll</w:t>
      </w:r>
      <w:r w:rsidR="002C3AA6">
        <w:t xml:space="preserve"> available in the same directory, </w:t>
      </w:r>
      <w:r w:rsidR="003170DF">
        <w:t xml:space="preserve">as </w:t>
      </w:r>
      <w:proofErr w:type="spellStart"/>
      <w:r w:rsidR="003170DF">
        <w:t>geotiffs</w:t>
      </w:r>
      <w:proofErr w:type="spellEnd"/>
      <w:r w:rsidR="003170DF">
        <w:t xml:space="preserve">, </w:t>
      </w:r>
      <w:r w:rsidR="002C3AA6">
        <w:t xml:space="preserve">with the timespan indicated within the filename (e.g. </w:t>
      </w:r>
      <w:proofErr w:type="gramStart"/>
      <w:r w:rsidR="002C3AA6">
        <w:t>3B-HHR-E.MS.MRG.3IMERG.20200207-S053000-E055959.0330.V07B.1day.</w:t>
      </w:r>
      <w:r w:rsidR="001F74B9">
        <w:t>tif</w:t>
      </w:r>
      <w:r w:rsidR="002C3AA6">
        <w:t xml:space="preserve">  is</w:t>
      </w:r>
      <w:proofErr w:type="gramEnd"/>
      <w:r w:rsidR="002C3AA6">
        <w:t xml:space="preserve"> a </w:t>
      </w:r>
      <w:proofErr w:type="gramStart"/>
      <w:r w:rsidR="002C3AA6">
        <w:t>1 day</w:t>
      </w:r>
      <w:proofErr w:type="gramEnd"/>
      <w:r w:rsidR="002C3AA6">
        <w:t xml:space="preserve"> file)</w:t>
      </w:r>
      <w:r w:rsidR="003170DF">
        <w:t>. P</w:t>
      </w:r>
      <w:r w:rsidR="002C3AA6">
        <w:t>recipitation values are scaled by a factor of x10 (0.1mm) for 30</w:t>
      </w:r>
      <w:r w:rsidR="006A3D72">
        <w:t>-</w:t>
      </w:r>
      <w:r w:rsidR="002C3AA6">
        <w:t>minute, 3</w:t>
      </w:r>
      <w:r w:rsidR="006A3D72">
        <w:t>-</w:t>
      </w:r>
      <w:r w:rsidR="002C3AA6">
        <w:t>hour, 1</w:t>
      </w:r>
      <w:r w:rsidR="006A3D72">
        <w:t>-</w:t>
      </w:r>
      <w:r w:rsidR="002C3AA6">
        <w:t xml:space="preserve">day files. </w:t>
      </w:r>
    </w:p>
    <w:p w14:paraId="455EDD13" w14:textId="4C781218" w:rsidR="00431184" w:rsidRPr="00817B66" w:rsidRDefault="00431184" w:rsidP="003E1F8B">
      <w:pPr>
        <w:pStyle w:val="Head4"/>
      </w:pPr>
      <w:bookmarkStart w:id="38" w:name="_Toc228290434"/>
      <w:r w:rsidRPr="00817B66">
        <w:t>B. Late Run</w:t>
      </w:r>
      <w:bookmarkEnd w:id="38"/>
    </w:p>
    <w:p w14:paraId="3A353C58" w14:textId="03515600" w:rsidR="00431184" w:rsidRDefault="00431184" w:rsidP="00431184">
      <w:r w:rsidRPr="00431184">
        <w:t>The Late Run provides improved accuracy with about 12-hour latency, supporting more detailed analyses and operational assessments.</w:t>
      </w:r>
      <w:r w:rsidR="000E71B0">
        <w:t xml:space="preserve"> </w:t>
      </w:r>
      <w:r w:rsidR="00703ED1">
        <w:t>T</w:t>
      </w:r>
      <w:r w:rsidR="00410A66">
        <w:t>o</w:t>
      </w:r>
      <w:r w:rsidR="00703ED1">
        <w:t xml:space="preserve"> download the data the user need</w:t>
      </w:r>
      <w:r w:rsidR="00161037">
        <w:t xml:space="preserve">s a NASA </w:t>
      </w:r>
      <w:proofErr w:type="spellStart"/>
      <w:r w:rsidR="00161037">
        <w:t>Earthdata</w:t>
      </w:r>
      <w:proofErr w:type="spellEnd"/>
      <w:r w:rsidR="00161037">
        <w:t xml:space="preserve"> account (</w:t>
      </w:r>
      <w:hyperlink r:id="rId17" w:anchor="toc-how-do-i-register-with-earthdata-login" w:history="1">
        <w:r w:rsidR="00F85811" w:rsidRPr="00872B00">
          <w:rPr>
            <w:rStyle w:val="Hyperlink"/>
          </w:rPr>
          <w:t>https://www.earthdata.nasa.gov/data/earthdata-login#toc-how-do-i-register-with-earthdata-login</w:t>
        </w:r>
      </w:hyperlink>
      <w:r w:rsidR="00F85811">
        <w:t>, last accessed 2/27/2026)</w:t>
      </w:r>
      <w:r w:rsidR="003C3D48">
        <w:t>.</w:t>
      </w:r>
      <w:r w:rsidR="001162EE">
        <w:t xml:space="preserve"> Data downloaded from </w:t>
      </w:r>
      <w:hyperlink r:id="rId18" w:history="1">
        <w:r w:rsidR="00025C2F" w:rsidRPr="00872B00">
          <w:rPr>
            <w:rStyle w:val="Hyperlink"/>
          </w:rPr>
          <w:t>https://gpm1.gesdisc.eosdis.nasa.gov/data/GPM_L3/GPM_3IMERGDL.07/</w:t>
        </w:r>
      </w:hyperlink>
      <w:r w:rsidR="00025C2F">
        <w:t xml:space="preserve"> </w:t>
      </w:r>
      <w:r w:rsidR="001162EE">
        <w:t>(last accessed 2/27/2026)</w:t>
      </w:r>
      <w:r w:rsidR="00025C2F">
        <w:t xml:space="preserve"> which is the 1-day</w:t>
      </w:r>
      <w:r w:rsidR="00212268">
        <w:t xml:space="preserve"> data in .NC4 format.</w:t>
      </w:r>
      <w:r w:rsidR="00A234A6">
        <w:t xml:space="preserve"> The file</w:t>
      </w:r>
      <w:r w:rsidR="00D55EF0">
        <w:t xml:space="preserve">name is e.g. </w:t>
      </w:r>
      <w:r w:rsidR="00D55EF0" w:rsidRPr="00D55EF0">
        <w:t>3B-DAY-L.MS.MRG.3IMERG.20240101-S000000-E235959.V07B.nc4</w:t>
      </w:r>
      <w:r w:rsidR="00D55EF0">
        <w:t xml:space="preserve"> where </w:t>
      </w:r>
      <w:r w:rsidR="00B433E8">
        <w:t xml:space="preserve">3B=Level 3 processing, </w:t>
      </w:r>
      <w:r w:rsidR="00350C5C">
        <w:t xml:space="preserve">20240101 = date as YYYYMMDD, </w:t>
      </w:r>
      <w:r w:rsidR="00350C5C" w:rsidRPr="00D55EF0">
        <w:t>S000000-E235959</w:t>
      </w:r>
      <w:r w:rsidR="00350C5C">
        <w:t xml:space="preserve"> = start and end time</w:t>
      </w:r>
      <w:r w:rsidR="00FE0E41">
        <w:t xml:space="preserve">, and </w:t>
      </w:r>
      <w:r w:rsidR="00FE0E41" w:rsidRPr="00D55EF0">
        <w:t>V07B</w:t>
      </w:r>
      <w:r w:rsidR="00FE0E41">
        <w:t xml:space="preserve"> = version of the data.</w:t>
      </w:r>
      <w:r w:rsidR="00F616CA">
        <w:t xml:space="preserve"> </w:t>
      </w:r>
      <w:r w:rsidR="004D667D">
        <w:t xml:space="preserve">Directory </w:t>
      </w:r>
      <w:r w:rsidR="004D667D" w:rsidRPr="004D667D">
        <w:t>GPM_3IMERG</w:t>
      </w:r>
      <w:r w:rsidR="00321A29">
        <w:t>HH</w:t>
      </w:r>
      <w:r w:rsidR="004D667D" w:rsidRPr="004D667D">
        <w:t>L.07</w:t>
      </w:r>
      <w:r w:rsidR="00321A29">
        <w:t xml:space="preserve"> includes the 30-minute data</w:t>
      </w:r>
      <w:r w:rsidR="00170DDB">
        <w:t>.</w:t>
      </w:r>
    </w:p>
    <w:p w14:paraId="1A337A5E" w14:textId="77777777" w:rsidR="00431184" w:rsidRPr="00817B66" w:rsidRDefault="00431184" w:rsidP="003E1F8B">
      <w:pPr>
        <w:pStyle w:val="Head4"/>
      </w:pPr>
      <w:bookmarkStart w:id="39" w:name="_Toc228290435"/>
      <w:r w:rsidRPr="00817B66">
        <w:lastRenderedPageBreak/>
        <w:t>C. Final Run</w:t>
      </w:r>
      <w:bookmarkEnd w:id="39"/>
    </w:p>
    <w:p w14:paraId="54266241" w14:textId="3834BD31" w:rsidR="00431184" w:rsidRPr="007231E6" w:rsidRDefault="00431184" w:rsidP="003E1F8B">
      <w:r w:rsidRPr="00B906D1">
        <w:t>The Final Run offers research-quality precipitation data with an approximate 3-month latency, ideal for retrospective and comprehensive studies.</w:t>
      </w:r>
      <w:r w:rsidR="009245B1">
        <w:t xml:space="preserve"> </w:t>
      </w:r>
      <w:r w:rsidR="006F53A5" w:rsidRPr="007231E6">
        <w:t>There are key differences between IMERG Early and Late Run. The half-hourly Final Run adjusts to the monthly Final Run product using a month-to-month ratio multiplier based on GPCC gauge analysis. The Late Run, computed 14 hours after observation, may miss some microwave overpasses. These are later included in the Final Run, affecting that half hour and possibly nearby periods</w:t>
      </w:r>
      <w:r w:rsidR="00AD3802">
        <w:t xml:space="preserve"> (</w:t>
      </w:r>
      <w:hyperlink r:id="rId19" w:history="1">
        <w:r w:rsidR="00AD3802" w:rsidRPr="00872B00">
          <w:rPr>
            <w:rStyle w:val="Hyperlink"/>
          </w:rPr>
          <w:t>https://gpm.nasa.gov/data/directory</w:t>
        </w:r>
      </w:hyperlink>
      <w:r w:rsidR="00AD3802">
        <w:t>, last accessed 2/26/2026)</w:t>
      </w:r>
      <w:r w:rsidR="006F53A5" w:rsidRPr="007231E6">
        <w:t>.</w:t>
      </w:r>
      <w:r w:rsidR="00630091">
        <w:t xml:space="preserve"> The </w:t>
      </w:r>
      <w:r w:rsidR="00DF6206">
        <w:t xml:space="preserve">Final Run data was acquired for the 30-minute time step from </w:t>
      </w:r>
      <w:hyperlink r:id="rId20" w:history="1">
        <w:r w:rsidR="00E716E1" w:rsidRPr="00872B00">
          <w:rPr>
            <w:rStyle w:val="Hyperlink"/>
          </w:rPr>
          <w:t>https://gpm1.gesdisc.eosdis.nasa.gov/data/GPM_L3/GPM_3IMERGHH.07/</w:t>
        </w:r>
      </w:hyperlink>
      <w:r w:rsidR="00E716E1">
        <w:t xml:space="preserve"> (last accessed 2/26/2027)</w:t>
      </w:r>
      <w:r w:rsidR="003622FD">
        <w:t xml:space="preserve"> </w:t>
      </w:r>
      <w:r w:rsidR="00691A8F">
        <w:t xml:space="preserve">as .HDF5 file format </w:t>
      </w:r>
      <w:r w:rsidR="003622FD">
        <w:t xml:space="preserve">and for the 1-day time step from </w:t>
      </w:r>
      <w:hyperlink r:id="rId21" w:history="1">
        <w:r w:rsidR="00E6579F" w:rsidRPr="00E6579F">
          <w:rPr>
            <w:rStyle w:val="Hyperlink"/>
          </w:rPr>
          <w:t>https://gpm1.gesdisc.eosdis.nasa.gov/data/GPM_L3/GPM_3IMERGDF.07/</w:t>
        </w:r>
      </w:hyperlink>
      <w:r w:rsidR="003622FD">
        <w:t xml:space="preserve"> (last accessed 2/26/2027)</w:t>
      </w:r>
      <w:r w:rsidR="00691A8F">
        <w:t xml:space="preserve"> as .NC4 file format</w:t>
      </w:r>
      <w:r w:rsidR="00E6579F">
        <w:t xml:space="preserve">. </w:t>
      </w:r>
      <w:r w:rsidR="00C868BA">
        <w:t xml:space="preserve">The filename for the 1-day data is e.g. </w:t>
      </w:r>
      <w:r w:rsidR="00C868BA" w:rsidRPr="00D55EF0">
        <w:t>3B-</w:t>
      </w:r>
      <w:r w:rsidR="00503D1C">
        <w:t>HHR</w:t>
      </w:r>
      <w:r w:rsidR="00C868BA" w:rsidRPr="00D55EF0">
        <w:t>-.MS.MRG.3IMERG.20240101-S000000-E</w:t>
      </w:r>
      <w:proofErr w:type="gramStart"/>
      <w:r w:rsidR="00297D9A">
        <w:t>002</w:t>
      </w:r>
      <w:r w:rsidR="00C868BA" w:rsidRPr="00D55EF0">
        <w:t>959.</w:t>
      </w:r>
      <w:r w:rsidR="00297D9A">
        <w:t>0000.</w:t>
      </w:r>
      <w:r w:rsidR="00C868BA" w:rsidRPr="00D55EF0">
        <w:t>V</w:t>
      </w:r>
      <w:proofErr w:type="gramEnd"/>
      <w:r w:rsidR="00C868BA" w:rsidRPr="00D55EF0">
        <w:t>07B.</w:t>
      </w:r>
      <w:r w:rsidR="00297D9A">
        <w:t>HDF5</w:t>
      </w:r>
      <w:r w:rsidR="00C868BA">
        <w:t xml:space="preserve"> where 3B=Level 3 processing, 20240101 = date as YYYYMMDD, </w:t>
      </w:r>
      <w:r w:rsidR="00C868BA" w:rsidRPr="00D55EF0">
        <w:t>S000000-E235959</w:t>
      </w:r>
      <w:r w:rsidR="00C868BA">
        <w:t xml:space="preserve"> = start and end time, </w:t>
      </w:r>
      <w:r w:rsidR="000E237F">
        <w:t xml:space="preserve">0000 = is a counter, </w:t>
      </w:r>
      <w:r w:rsidR="00C868BA">
        <w:t xml:space="preserve">and </w:t>
      </w:r>
      <w:r w:rsidR="00C868BA" w:rsidRPr="00D55EF0">
        <w:t>V07B</w:t>
      </w:r>
      <w:r w:rsidR="00C868BA">
        <w:t xml:space="preserve"> = version of the data.</w:t>
      </w:r>
      <w:r w:rsidR="009778A2">
        <w:t xml:space="preserve"> And the filename is e.g. </w:t>
      </w:r>
      <w:r w:rsidR="009778A2" w:rsidRPr="00D55EF0">
        <w:t>3B-DAY.MS.MRG.3IMERG.20240101-S000000-E235959.V07B.nc4</w:t>
      </w:r>
      <w:r w:rsidR="009778A2">
        <w:t xml:space="preserve"> where 3B=Level 3 processing, 20240101 = date as YYYYMMDD, </w:t>
      </w:r>
      <w:r w:rsidR="009778A2" w:rsidRPr="00D55EF0">
        <w:t>S000000-E235959</w:t>
      </w:r>
      <w:r w:rsidR="009778A2">
        <w:t xml:space="preserve"> = start and end time, and </w:t>
      </w:r>
      <w:r w:rsidR="009778A2" w:rsidRPr="00D55EF0">
        <w:t>V07B</w:t>
      </w:r>
      <w:r w:rsidR="009778A2">
        <w:t xml:space="preserve"> = version of the data.</w:t>
      </w:r>
    </w:p>
    <w:p w14:paraId="6C8BF0B4" w14:textId="4A95128E" w:rsidR="00F1753B" w:rsidRDefault="00123FB8" w:rsidP="003E1F8B">
      <w:pPr>
        <w:ind w:firstLine="720"/>
      </w:pPr>
      <w:r>
        <w:t xml:space="preserve">The precipitation summaries were created </w:t>
      </w:r>
      <w:r w:rsidR="003423AC">
        <w:t>from</w:t>
      </w:r>
      <w:r>
        <w:t xml:space="preserve"> the acquired</w:t>
      </w:r>
      <w:r w:rsidR="00EB1AC9">
        <w:t xml:space="preserve"> or processed</w:t>
      </w:r>
      <w:r>
        <w:t xml:space="preserve"> </w:t>
      </w:r>
      <w:r w:rsidR="00C010E7">
        <w:t>“</w:t>
      </w:r>
      <w:r w:rsidR="006C1531">
        <w:t>.TIF</w:t>
      </w:r>
      <w:r w:rsidR="00C010E7">
        <w:t>”</w:t>
      </w:r>
      <w:r w:rsidR="006C1531">
        <w:t xml:space="preserve"> files</w:t>
      </w:r>
      <w:r>
        <w:t xml:space="preserve"> as zonal average for each given boundar</w:t>
      </w:r>
      <w:r w:rsidR="00240B4D">
        <w:t>y</w:t>
      </w:r>
      <w:r>
        <w:t xml:space="preserve">, </w:t>
      </w:r>
      <w:r w:rsidR="00240B4D">
        <w:t>which could be a</w:t>
      </w:r>
      <w:r>
        <w:t xml:space="preserve"> single pixel, watershed, or whole island or atoll. The output format is a </w:t>
      </w:r>
      <w:r w:rsidR="00C010E7">
        <w:t>“</w:t>
      </w:r>
      <w:r>
        <w:t>.CSV</w:t>
      </w:r>
      <w:r w:rsidR="00C010E7">
        <w:t>”</w:t>
      </w:r>
      <w:r>
        <w:t xml:space="preserve"> table where every row represents the time step, from 30-minute to daily and every column is one study site</w:t>
      </w:r>
      <w:r w:rsidR="00183169">
        <w:t xml:space="preserve">, showing the precipitation </w:t>
      </w:r>
      <w:r w:rsidR="006A3D72">
        <w:t>amount</w:t>
      </w:r>
      <w:r w:rsidR="00183169">
        <w:t xml:space="preserve"> in mm</w:t>
      </w:r>
      <w:r>
        <w:t xml:space="preserve">. </w:t>
      </w:r>
    </w:p>
    <w:p w14:paraId="626EC9E2" w14:textId="328AE858" w:rsidR="00BD3AF0" w:rsidRDefault="00F1753B" w:rsidP="00123FB8">
      <w:pPr>
        <w:rPr>
          <w:rStyle w:val="CommentReference"/>
        </w:rPr>
      </w:pPr>
      <w:r>
        <w:rPr>
          <w:noProof/>
        </w:rPr>
        <w:lastRenderedPageBreak/>
        <w:drawing>
          <wp:inline distT="0" distB="0" distL="0" distR="0" wp14:anchorId="328F3EB4" wp14:editId="29B95EEB">
            <wp:extent cx="5943600" cy="2170430"/>
            <wp:effectExtent l="0" t="0" r="0" b="1270"/>
            <wp:docPr id="505633561"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633561" name="Picture 1" descr="Diagram&#10;&#10;AI-generated content may be incorrect."/>
                    <pic:cNvPicPr/>
                  </pic:nvPicPr>
                  <pic:blipFill>
                    <a:blip r:embed="rId22"/>
                    <a:stretch>
                      <a:fillRect/>
                    </a:stretch>
                  </pic:blipFill>
                  <pic:spPr>
                    <a:xfrm>
                      <a:off x="0" y="0"/>
                      <a:ext cx="5943600" cy="2170430"/>
                    </a:xfrm>
                    <a:prstGeom prst="rect">
                      <a:avLst/>
                    </a:prstGeom>
                  </pic:spPr>
                </pic:pic>
              </a:graphicData>
            </a:graphic>
          </wp:inline>
        </w:drawing>
      </w:r>
    </w:p>
    <w:p w14:paraId="6CA78E35" w14:textId="0BE64C41" w:rsidR="00BD3AF0" w:rsidRDefault="00BD3AF0" w:rsidP="009D6403">
      <w:pPr>
        <w:pStyle w:val="Caption"/>
      </w:pPr>
      <w:bookmarkStart w:id="40" w:name="_Ref227322688"/>
      <w:bookmarkStart w:id="41" w:name="_Toc228290762"/>
      <w:r>
        <w:t xml:space="preserve">Figure </w:t>
      </w:r>
      <w:r>
        <w:fldChar w:fldCharType="begin"/>
      </w:r>
      <w:r>
        <w:instrText xml:space="preserve"> SEQ Figure \* ARABIC </w:instrText>
      </w:r>
      <w:r>
        <w:fldChar w:fldCharType="separate"/>
      </w:r>
      <w:r w:rsidR="007A325D">
        <w:rPr>
          <w:noProof/>
        </w:rPr>
        <w:t>3</w:t>
      </w:r>
      <w:r>
        <w:fldChar w:fldCharType="end"/>
      </w:r>
      <w:bookmarkEnd w:id="40"/>
      <w:r>
        <w:t>.</w:t>
      </w:r>
      <w:r w:rsidR="00D14AFB" w:rsidRPr="00D14AFB">
        <w:t xml:space="preserve"> </w:t>
      </w:r>
      <w:r w:rsidR="00D14AFB">
        <w:t xml:space="preserve">Workflow of </w:t>
      </w:r>
      <w:r w:rsidR="001821EE">
        <w:t xml:space="preserve">IMERG </w:t>
      </w:r>
      <w:r w:rsidR="00D14AFB">
        <w:t xml:space="preserve">precipitation </w:t>
      </w:r>
      <w:r w:rsidR="00CD1765">
        <w:t xml:space="preserve">data </w:t>
      </w:r>
      <w:r w:rsidR="00D14AFB">
        <w:t>processing.</w:t>
      </w:r>
      <w:bookmarkEnd w:id="41"/>
    </w:p>
    <w:p w14:paraId="463CE4DE" w14:textId="77777777" w:rsidR="00BD3AF0" w:rsidRPr="003E1F8B" w:rsidRDefault="00BD3AF0" w:rsidP="00BD3AF0"/>
    <w:p w14:paraId="54622191" w14:textId="1FF0E3DD" w:rsidR="00123FB8" w:rsidRDefault="00123FB8" w:rsidP="00123FB8">
      <w:r>
        <w:t>The workflow from download to .CSV output product is automated in a script using Python programming language</w:t>
      </w:r>
      <w:r w:rsidR="00D14AFB">
        <w:t xml:space="preserve"> (</w:t>
      </w:r>
      <w:r w:rsidR="00D14AFB">
        <w:fldChar w:fldCharType="begin"/>
      </w:r>
      <w:r w:rsidR="00D14AFB">
        <w:instrText xml:space="preserve"> REF _Ref227322688 \h </w:instrText>
      </w:r>
      <w:r w:rsidR="00D14AFB">
        <w:fldChar w:fldCharType="separate"/>
      </w:r>
      <w:r w:rsidR="00D14AFB">
        <w:t xml:space="preserve">Figure </w:t>
      </w:r>
      <w:r w:rsidR="00D14AFB">
        <w:rPr>
          <w:noProof/>
        </w:rPr>
        <w:t>2</w:t>
      </w:r>
      <w:r w:rsidR="00D14AFB">
        <w:fldChar w:fldCharType="end"/>
      </w:r>
      <w:r w:rsidR="00D14AFB">
        <w:t>)</w:t>
      </w:r>
      <w:r>
        <w:t xml:space="preserve">. The scripts are documented in the USGS data release. </w:t>
      </w:r>
    </w:p>
    <w:p w14:paraId="1053A8A3" w14:textId="77777777" w:rsidR="001821EE" w:rsidRDefault="001821EE" w:rsidP="003E1F8B">
      <w:pPr>
        <w:pStyle w:val="BodyText"/>
      </w:pPr>
    </w:p>
    <w:p w14:paraId="769732E2" w14:textId="2683012C" w:rsidR="006A110F" w:rsidRDefault="006A110F" w:rsidP="003E1F8B">
      <w:pPr>
        <w:pStyle w:val="Head3"/>
      </w:pPr>
      <w:bookmarkStart w:id="42" w:name="_Toc228290436"/>
      <w:r>
        <w:t>Evapotranspiration</w:t>
      </w:r>
      <w:bookmarkEnd w:id="42"/>
    </w:p>
    <w:p w14:paraId="18C394FF" w14:textId="2B8E5761" w:rsidR="003901D5" w:rsidRDefault="00E33A6E" w:rsidP="004402DD">
      <w:pPr>
        <w:pStyle w:val="BodyText"/>
      </w:pPr>
      <w:r w:rsidRPr="00E33A6E">
        <w:t>Evapotranspiration (ET) retrievals derived from thermal and optical satellite sensors—such as SSEBop, MOD16, and SEBAL—have become essential for estimating water loss from vegetation, soils, and open water bodies. These products provide consistent ET estimates across large areas, enabling assessments of agricultural water use, drought stress, and ecosystem water demand. Remote sensing–based ET has been particularly important in data‑limited regions, where direct measurements of ET are rarely available and ground‑based methods are costly or impractical.</w:t>
      </w:r>
      <w:r w:rsidR="001A123C">
        <w:t xml:space="preserve"> </w:t>
      </w:r>
      <w:r w:rsidR="00F27E0E">
        <w:t xml:space="preserve">Here we used the </w:t>
      </w:r>
      <w:r w:rsidR="00F26B2D">
        <w:t xml:space="preserve">operational Simplified Surface Energy Balance (SSEBop) model </w:t>
      </w:r>
      <w:r w:rsidR="00D33054">
        <w:t>developed at the USGS EROS (Earth Resources Observation Science) Center</w:t>
      </w:r>
      <w:r w:rsidR="004322A8">
        <w:t xml:space="preserve">. </w:t>
      </w:r>
      <w:r w:rsidR="006E5518">
        <w:t xml:space="preserve">The model is a satellite-driven method for estimating </w:t>
      </w:r>
      <w:r w:rsidR="00F76F38">
        <w:t>actual Evapotranspiration (ETa)</w:t>
      </w:r>
      <w:r w:rsidR="00B819A6">
        <w:t xml:space="preserve"> </w:t>
      </w:r>
      <w:r w:rsidR="00724B97">
        <w:t xml:space="preserve">using the energy-balance </w:t>
      </w:r>
      <w:r w:rsidR="00724B97">
        <w:lastRenderedPageBreak/>
        <w:t>framework</w:t>
      </w:r>
      <w:r w:rsidR="005200E8">
        <w:t xml:space="preserve"> to determine </w:t>
      </w:r>
      <w:r w:rsidR="00BE6A5E">
        <w:t xml:space="preserve">cold and hot boundary conditions of the landscape. </w:t>
      </w:r>
      <w:r w:rsidR="008E32B9" w:rsidRPr="008E32B9">
        <w:t>Cold pixels represent well‑watered vegetation (high latent heat/ET), while hot pixels represent dry surfaces (low latent heat/ET). This allowed direct calculation of ET fraction, which, when multiplied by a reference ET, produce</w:t>
      </w:r>
      <w:r w:rsidR="008E32B9">
        <w:t>s</w:t>
      </w:r>
      <w:r w:rsidR="008E32B9" w:rsidRPr="008E32B9">
        <w:t xml:space="preserve"> actual E</w:t>
      </w:r>
      <w:r w:rsidR="00904BF6">
        <w:t>T</w:t>
      </w:r>
      <w:r w:rsidR="008E32B9" w:rsidRPr="008E32B9">
        <w:t>.</w:t>
      </w:r>
      <w:r w:rsidR="004C2B59">
        <w:t xml:space="preserve"> </w:t>
      </w:r>
      <w:r w:rsidR="00416D0E">
        <w:t xml:space="preserve">The SSEBop model is widely used because </w:t>
      </w:r>
      <w:r w:rsidR="00124F61">
        <w:t>of its simplicity</w:t>
      </w:r>
      <w:r w:rsidR="00F1752C">
        <w:t xml:space="preserve"> and only</w:t>
      </w:r>
      <w:r w:rsidR="00414377">
        <w:t xml:space="preserve"> requires readily available satellite </w:t>
      </w:r>
      <w:r w:rsidR="00FE3D96">
        <w:t>data sets</w:t>
      </w:r>
      <w:r w:rsidR="00915288">
        <w:t>.</w:t>
      </w:r>
      <w:r w:rsidR="00F1752C">
        <w:t xml:space="preserve"> In addition, it produces consistent</w:t>
      </w:r>
      <w:r w:rsidR="00405F6A">
        <w:t>, scalable ET estimates on a global scale</w:t>
      </w:r>
      <w:r w:rsidR="00AC3F44">
        <w:t xml:space="preserve"> starting in 20</w:t>
      </w:r>
      <w:r w:rsidR="004402DD">
        <w:t>1</w:t>
      </w:r>
      <w:r w:rsidR="00AC3F44">
        <w:t>2 to current</w:t>
      </w:r>
      <w:r w:rsidR="00AA3D64">
        <w:t xml:space="preserve"> with good performance when compared to independent datasets over diverse hydroclimatic settings (Senay et al.,</w:t>
      </w:r>
      <w:r w:rsidR="0092367B">
        <w:t>202</w:t>
      </w:r>
      <w:r w:rsidR="0010354C">
        <w:t>0</w:t>
      </w:r>
      <w:r w:rsidR="0003201C">
        <w:t>, 2023</w:t>
      </w:r>
      <w:r w:rsidR="0092367B">
        <w:t>, Volk et al</w:t>
      </w:r>
      <w:r w:rsidR="0003201C">
        <w:t>.</w:t>
      </w:r>
      <w:r w:rsidR="0092367B">
        <w:t>, 2024, Khand</w:t>
      </w:r>
      <w:r w:rsidR="00674681">
        <w:t xml:space="preserve"> et al., 2025)</w:t>
      </w:r>
      <w:r w:rsidR="00A04ECB">
        <w:t>. Over the years</w:t>
      </w:r>
      <w:r w:rsidR="00733288">
        <w:t xml:space="preserve"> t</w:t>
      </w:r>
      <w:r w:rsidR="00416D0E">
        <w:t xml:space="preserve">he approach has been refined and continues evolving </w:t>
      </w:r>
      <w:r w:rsidR="00BD5460">
        <w:t>with</w:t>
      </w:r>
      <w:r w:rsidR="00416D0E">
        <w:t xml:space="preserve"> new satellite sensors and improved algorithms</w:t>
      </w:r>
      <w:r w:rsidR="003901D5">
        <w:t>.</w:t>
      </w:r>
    </w:p>
    <w:p w14:paraId="111D4AEB" w14:textId="3773FD34" w:rsidR="00A04ECB" w:rsidRDefault="001160D0" w:rsidP="004402DD">
      <w:pPr>
        <w:pStyle w:val="BodyText"/>
      </w:pPr>
      <w:r>
        <w:t xml:space="preserve">Here we used the latest version, Version 6, as of </w:t>
      </w:r>
      <w:r w:rsidR="00990109">
        <w:t>February</w:t>
      </w:r>
      <w:r>
        <w:t xml:space="preserve"> 2026</w:t>
      </w:r>
      <w:r w:rsidR="00012A2F">
        <w:t xml:space="preserve"> (USGS data release info)</w:t>
      </w:r>
      <w:r w:rsidR="00990109">
        <w:t xml:space="preserve">. </w:t>
      </w:r>
      <w:r w:rsidR="00377BD3">
        <w:t>The</w:t>
      </w:r>
      <w:r w:rsidR="00E225AC">
        <w:t xml:space="preserve"> data has a spatial resolution of  0.01</w:t>
      </w:r>
      <w:r w:rsidR="00E225AC" w:rsidRPr="00532ADA">
        <w:t>°</w:t>
      </w:r>
      <w:r w:rsidR="00E225AC">
        <w:t xml:space="preserve"> and </w:t>
      </w:r>
      <w:r w:rsidR="0082577B">
        <w:t>is updated</w:t>
      </w:r>
      <w:r w:rsidR="00E225AC">
        <w:t xml:space="preserve"> every dekad (10 days) since 2012, and is available to download from the USGS Data Portal (</w:t>
      </w:r>
      <w:hyperlink r:id="rId23" w:history="1">
        <w:r w:rsidR="00E225AC" w:rsidRPr="002E66CA">
          <w:rPr>
            <w:rStyle w:val="Hyperlink"/>
          </w:rPr>
          <w:t>https://earlywarning.usgs.gov/fews/</w:t>
        </w:r>
      </w:hyperlink>
      <w:r w:rsidR="00E225AC">
        <w:t>, accessed 2/26/2026)</w:t>
      </w:r>
      <w:r w:rsidR="009C1D43">
        <w:t xml:space="preserve"> a</w:t>
      </w:r>
      <w:r w:rsidR="008A7BEA">
        <w:t>t dekadal</w:t>
      </w:r>
      <w:r w:rsidR="00433003">
        <w:t xml:space="preserve">, monthly or annual </w:t>
      </w:r>
      <w:r w:rsidR="00ED4447">
        <w:t xml:space="preserve">time steps. </w:t>
      </w:r>
      <w:r w:rsidR="000D0033">
        <w:t xml:space="preserve">Besides the ETa, ET </w:t>
      </w:r>
      <w:r w:rsidR="003F0647">
        <w:t>percent anomaly from median are also available</w:t>
      </w:r>
      <w:r w:rsidR="00161529">
        <w:t>.</w:t>
      </w:r>
    </w:p>
    <w:p w14:paraId="1A3FB735" w14:textId="347A2845" w:rsidR="00416D0E" w:rsidRDefault="00542998" w:rsidP="006A110F">
      <w:pPr>
        <w:pStyle w:val="BodyText"/>
      </w:pPr>
      <w:r>
        <w:t xml:space="preserve">Once the data was acquired from the website, the same </w:t>
      </w:r>
      <w:r w:rsidR="00232838">
        <w:t>script used in the precipitation summaries was used to create ETa summaries for each study site</w:t>
      </w:r>
      <w:r w:rsidR="0047588B">
        <w:t xml:space="preserve"> (USGS data release info for scripts).</w:t>
      </w:r>
    </w:p>
    <w:p w14:paraId="031BFB4A" w14:textId="215DF3A9" w:rsidR="006A110F" w:rsidRDefault="006A110F" w:rsidP="003E1F8B">
      <w:pPr>
        <w:pStyle w:val="Head3"/>
      </w:pPr>
      <w:bookmarkStart w:id="43" w:name="_Toc228290437"/>
      <w:r>
        <w:t>Water Balance</w:t>
      </w:r>
      <w:bookmarkEnd w:id="43"/>
    </w:p>
    <w:p w14:paraId="6109EF0F" w14:textId="66456155" w:rsidR="0016718F" w:rsidRPr="000C3B6C" w:rsidRDefault="00F5158C" w:rsidP="003E1F8B">
      <w:pPr>
        <w:pStyle w:val="BodyText"/>
        <w:rPr>
          <w:bCs/>
        </w:rPr>
      </w:pPr>
      <w:r w:rsidRPr="00F5158C">
        <w:t xml:space="preserve">Remote sensing has also been widely applied to derive water‑balance components, particularly in regions where hydrologic monitoring networks are sparse. By combining satellite‑based precipitation products with evapotranspiration estimates, researchers can calculate net water availability through </w:t>
      </w:r>
      <w:r w:rsidR="007856AE">
        <w:t>a</w:t>
      </w:r>
      <w:r w:rsidRPr="00F5158C">
        <w:t xml:space="preserve"> </w:t>
      </w:r>
      <w:r w:rsidR="00236768">
        <w:t>basic water</w:t>
      </w:r>
      <w:r w:rsidRPr="00F5158C">
        <w:t xml:space="preserve"> balance</w:t>
      </w:r>
      <w:r w:rsidR="000C3B6C">
        <w:t>,</w:t>
      </w:r>
      <w:r w:rsidR="007B3812">
        <w:rPr>
          <w:b/>
        </w:rPr>
        <w:t xml:space="preserve"> </w:t>
      </w:r>
      <w:r w:rsidR="0016718F" w:rsidRPr="000C3B6C">
        <w:rPr>
          <w:bCs/>
        </w:rPr>
        <w:t>expressed as:</w:t>
      </w:r>
    </w:p>
    <w:p w14:paraId="6E37605A" w14:textId="0EB3E3D5" w:rsidR="0016718F" w:rsidRPr="003E1F8B" w:rsidRDefault="00F5158C" w:rsidP="003E1F8B">
      <w:pPr>
        <w:pStyle w:val="BodyText"/>
        <w:rPr>
          <w:b/>
        </w:rPr>
      </w:pPr>
      <w:r w:rsidRPr="00152C97">
        <w:lastRenderedPageBreak/>
        <w:t xml:space="preserve"> </w:t>
      </w:r>
      <w:r w:rsidR="00D56C9F" w:rsidRPr="00152C97">
        <w:t xml:space="preserve">WB = </w:t>
      </w:r>
      <w:r w:rsidRPr="00152C97">
        <w:rPr>
          <w:rFonts w:ascii="Cambria Math" w:hAnsi="Cambria Math" w:cs="Cambria Math"/>
        </w:rPr>
        <w:t>𝑃</w:t>
      </w:r>
      <w:r w:rsidR="00615C7A" w:rsidRPr="003E1F8B">
        <w:t xml:space="preserve"> </w:t>
      </w:r>
      <w:r w:rsidR="00615C7A" w:rsidRPr="00152C97">
        <w:t xml:space="preserve">– </w:t>
      </w:r>
      <w:r w:rsidRPr="00152C97">
        <w:rPr>
          <w:rFonts w:ascii="Cambria Math" w:hAnsi="Cambria Math" w:cs="Cambria Math"/>
        </w:rPr>
        <w:t>𝐸𝑇</w:t>
      </w:r>
      <w:r w:rsidR="00625950" w:rsidRPr="003E1F8B">
        <w:t>a</w:t>
      </w:r>
      <w:r w:rsidR="001F3AB3">
        <w:t xml:space="preserve"> -</w:t>
      </w:r>
      <w:r w:rsidR="00AA0C5A">
        <w:t xml:space="preserve"> </w:t>
      </w:r>
      <w:proofErr w:type="spellStart"/>
      <w:r w:rsidR="00AA0C5A">
        <w:t>dS</w:t>
      </w:r>
      <w:proofErr w:type="spellEnd"/>
      <w:r w:rsidR="0016718F" w:rsidRPr="003E1F8B">
        <w:tab/>
      </w:r>
      <w:r w:rsidR="0016718F" w:rsidRPr="003E1F8B">
        <w:tab/>
      </w:r>
      <w:r w:rsidR="0016718F" w:rsidRPr="003E1F8B">
        <w:tab/>
      </w:r>
      <w:r w:rsidR="0016718F" w:rsidRPr="003E1F8B">
        <w:tab/>
      </w:r>
      <w:r w:rsidR="0016718F" w:rsidRPr="003E1F8B">
        <w:tab/>
        <w:t>(1)</w:t>
      </w:r>
    </w:p>
    <w:p w14:paraId="4F8FF921" w14:textId="4B863C03" w:rsidR="000C3B6C" w:rsidRPr="0007391B" w:rsidRDefault="000C3B6C" w:rsidP="003E1F8B">
      <w:pPr>
        <w:pStyle w:val="BodyText"/>
        <w:ind w:firstLine="0"/>
      </w:pPr>
      <w:r>
        <w:t>w</w:t>
      </w:r>
      <w:r w:rsidR="0016718F" w:rsidRPr="003E1F8B">
        <w:t>here</w:t>
      </w:r>
      <w:r>
        <w:t xml:space="preserve">, </w:t>
      </w:r>
      <w:r w:rsidR="00D56C9F" w:rsidRPr="003E1F8B">
        <w:t>WB</w:t>
      </w:r>
      <w:r w:rsidR="00D843A7">
        <w:t xml:space="preserve"> = </w:t>
      </w:r>
      <w:r w:rsidR="00D56C9F" w:rsidRPr="003E1F8B">
        <w:t xml:space="preserve">Water </w:t>
      </w:r>
      <w:r w:rsidR="00D843A7">
        <w:t>B</w:t>
      </w:r>
      <w:r w:rsidR="00D56C9F" w:rsidRPr="003E1F8B">
        <w:t>alance</w:t>
      </w:r>
      <w:r>
        <w:t xml:space="preserve">; </w:t>
      </w:r>
      <w:r w:rsidR="0016718F" w:rsidRPr="003E1F8B">
        <w:t xml:space="preserve">P </w:t>
      </w:r>
      <w:r w:rsidR="005B421C">
        <w:t xml:space="preserve">= </w:t>
      </w:r>
      <w:r w:rsidR="00625950" w:rsidRPr="003E1F8B">
        <w:t>Precipitation</w:t>
      </w:r>
      <w:r w:rsidR="005B421C">
        <w:t xml:space="preserve">; </w:t>
      </w:r>
      <w:r w:rsidR="00625950" w:rsidRPr="003E1F8B">
        <w:t>ETa</w:t>
      </w:r>
      <w:r w:rsidR="005B421C" w:rsidRPr="0007391B">
        <w:t xml:space="preserve"> = </w:t>
      </w:r>
      <w:r w:rsidR="00D843A7" w:rsidRPr="0007391B">
        <w:t>A</w:t>
      </w:r>
      <w:r w:rsidR="00625950" w:rsidRPr="003E1F8B">
        <w:t xml:space="preserve">ctual </w:t>
      </w:r>
      <w:r w:rsidR="00625950" w:rsidRPr="0007391B" w:rsidDel="00D843A7">
        <w:t>E</w:t>
      </w:r>
      <w:r w:rsidR="00625950" w:rsidRPr="003E1F8B">
        <w:t>vapotranspiration</w:t>
      </w:r>
      <w:r w:rsidR="00AA0C5A" w:rsidRPr="0007391B">
        <w:t xml:space="preserve">, </w:t>
      </w:r>
      <w:proofErr w:type="spellStart"/>
      <w:r w:rsidR="00AA0C5A" w:rsidRPr="0007391B">
        <w:t>d</w:t>
      </w:r>
      <w:r w:rsidR="0007391B" w:rsidRPr="0007391B">
        <w:t>D</w:t>
      </w:r>
      <w:proofErr w:type="spellEnd"/>
      <w:r w:rsidR="0007391B" w:rsidRPr="0007391B">
        <w:t xml:space="preserve"> = </w:t>
      </w:r>
      <w:r w:rsidR="0007391B" w:rsidRPr="003E1F8B">
        <w:t>Change in St</w:t>
      </w:r>
      <w:r w:rsidR="0007391B">
        <w:t xml:space="preserve">orage where it is </w:t>
      </w:r>
      <w:r w:rsidR="009E3A28">
        <w:t xml:space="preserve">considered negligible at annual time scale. </w:t>
      </w:r>
    </w:p>
    <w:p w14:paraId="0333079E" w14:textId="1CBE675C" w:rsidR="0016718F" w:rsidRPr="0007391B" w:rsidRDefault="0016718F" w:rsidP="003E1F8B">
      <w:pPr>
        <w:pStyle w:val="BodyText"/>
        <w:spacing w:line="240" w:lineRule="auto"/>
      </w:pPr>
      <w:r w:rsidRPr="003E1F8B">
        <w:tab/>
      </w:r>
    </w:p>
    <w:p w14:paraId="27894310" w14:textId="0C88EEF3" w:rsidR="001F3AB3" w:rsidRPr="003E1F8B" w:rsidRDefault="00D843A7" w:rsidP="003E1F8B">
      <w:pPr>
        <w:pStyle w:val="BodyText"/>
      </w:pPr>
      <w:r>
        <w:t xml:space="preserve">WB </w:t>
      </w:r>
      <w:r w:rsidR="00F5158C" w:rsidRPr="00F5158C">
        <w:t>provid</w:t>
      </w:r>
      <w:r>
        <w:t>es</w:t>
      </w:r>
      <w:r w:rsidR="00F5158C" w:rsidRPr="00F5158C" w:rsidDel="00D843A7">
        <w:t xml:space="preserve"> </w:t>
      </w:r>
      <w:r w:rsidR="00F5158C" w:rsidRPr="00F5158C">
        <w:t>insight into periods of surplus and deficit across monthly to annual timescales.</w:t>
      </w:r>
      <w:r w:rsidR="00431D38">
        <w:t xml:space="preserve"> Alt</w:t>
      </w:r>
      <w:r w:rsidR="0007443A">
        <w:t>hough the change in storage term (</w:t>
      </w:r>
      <w:proofErr w:type="spellStart"/>
      <w:r w:rsidR="0007443A">
        <w:t>dS</w:t>
      </w:r>
      <w:proofErr w:type="spellEnd"/>
      <w:r w:rsidR="0007443A">
        <w:t xml:space="preserve">) can be assumed </w:t>
      </w:r>
      <w:r w:rsidR="00BF229A">
        <w:t>negligible</w:t>
      </w:r>
      <w:r w:rsidR="000B485D">
        <w:t xml:space="preserve"> at the annual time scale</w:t>
      </w:r>
      <w:r w:rsidR="00BF229A">
        <w:t xml:space="preserve">, the monthly </w:t>
      </w:r>
      <w:r w:rsidR="00191C04">
        <w:t xml:space="preserve">WB is simply estimated as the difference between P and ETa without accounting for </w:t>
      </w:r>
      <w:proofErr w:type="spellStart"/>
      <w:r w:rsidR="004865EE">
        <w:t>dS</w:t>
      </w:r>
      <w:proofErr w:type="spellEnd"/>
      <w:r w:rsidR="004865EE">
        <w:t xml:space="preserve"> and thus can</w:t>
      </w:r>
      <w:r w:rsidR="00490463">
        <w:t xml:space="preserve"> only be inter</w:t>
      </w:r>
      <w:r w:rsidR="00977F42">
        <w:t xml:space="preserve">preted as a relative indicator and not in absolute terms. </w:t>
      </w:r>
      <w:r w:rsidR="00BE64D9">
        <w:t xml:space="preserve"> </w:t>
      </w:r>
      <w:r w:rsidR="00B111C5">
        <w:t>S</w:t>
      </w:r>
      <w:r w:rsidR="00275023">
        <w:t xml:space="preserve">atellite-based </w:t>
      </w:r>
      <w:r w:rsidR="00B77AD0">
        <w:t xml:space="preserve">gridded datasets </w:t>
      </w:r>
      <w:r w:rsidR="00FA31C3">
        <w:t>allow</w:t>
      </w:r>
      <w:r w:rsidR="00F5158C" w:rsidRPr="00F5158C">
        <w:t xml:space="preserve"> </w:t>
      </w:r>
      <w:r w:rsidR="00EF2EC4">
        <w:t xml:space="preserve">a </w:t>
      </w:r>
      <w:r w:rsidR="00F5158C" w:rsidRPr="00F5158C">
        <w:t xml:space="preserve">consistent evaluation of hydrologic conditions even in locations where streamflow, groundwater, or soil‑moisture observations are unavailable. Satellite‑derived water‑balance assessments have been used to monitor drought development, </w:t>
      </w:r>
      <w:r w:rsidR="000277E1">
        <w:t xml:space="preserve">map sources and sinks (Senay et al., 2014), </w:t>
      </w:r>
      <w:r w:rsidR="00F5158C" w:rsidRPr="00F5158C">
        <w:t xml:space="preserve">quantify recharge potential, and evaluate long‑term shifts in freshwater availability under changing climate conditions. For small island environments, where direct measurements of runoff and storage are often limited or absent, remote sensing–based water‑balance methods offer a </w:t>
      </w:r>
      <w:r w:rsidR="00F5158C" w:rsidRPr="00BA429B">
        <w:t xml:space="preserve">practical and scientifically robust means of understanding hydrologic vulnerability and </w:t>
      </w:r>
      <w:r w:rsidR="00F5158C" w:rsidRPr="00C54303">
        <w:rPr>
          <w:bCs/>
        </w:rPr>
        <w:t>supporting water‑resource planning.</w:t>
      </w:r>
      <w:r w:rsidR="00AB0020" w:rsidRPr="00C54303">
        <w:rPr>
          <w:bCs/>
        </w:rPr>
        <w:t xml:space="preserve"> In this study we used the simple W</w:t>
      </w:r>
      <w:r w:rsidR="008F0C2B">
        <w:rPr>
          <w:bCs/>
        </w:rPr>
        <w:t>B</w:t>
      </w:r>
      <w:r w:rsidR="00AB0020" w:rsidRPr="00C54303">
        <w:rPr>
          <w:bCs/>
        </w:rPr>
        <w:t xml:space="preserve"> method to calculate the net water availability for the given study sites.</w:t>
      </w:r>
    </w:p>
    <w:p w14:paraId="4B57C035" w14:textId="77777777" w:rsidR="00F2114C" w:rsidRPr="00C54303" w:rsidRDefault="00F2114C" w:rsidP="00692694">
      <w:pPr>
        <w:pStyle w:val="BodyText"/>
        <w:rPr>
          <w:bCs/>
        </w:rPr>
      </w:pPr>
    </w:p>
    <w:p w14:paraId="7A9703F6" w14:textId="3415AF4A" w:rsidR="006A110F" w:rsidRDefault="006A110F" w:rsidP="00817B66">
      <w:pPr>
        <w:pStyle w:val="Head2"/>
      </w:pPr>
      <w:bookmarkStart w:id="44" w:name="_Toc228290438"/>
      <w:r>
        <w:t>Drought Monitoring</w:t>
      </w:r>
      <w:bookmarkEnd w:id="44"/>
    </w:p>
    <w:p w14:paraId="64337A9F" w14:textId="3EF27AA8" w:rsidR="2DDF3845" w:rsidRDefault="14B15D81" w:rsidP="006E3D43">
      <w:pPr>
        <w:ind w:firstLine="720"/>
        <w:rPr>
          <w:color w:val="000000" w:themeColor="text1"/>
        </w:rPr>
      </w:pPr>
      <w:r w:rsidRPr="006E3D43">
        <w:rPr>
          <w:rFonts w:eastAsia="Times New Roman" w:cs="Times New Roman"/>
        </w:rPr>
        <w:t xml:space="preserve">To support evidence-based water resource management, disaster risk reduction, and climate adaptation planning across the region, a satellite-based monthly drought monitoring system was developed for nine </w:t>
      </w:r>
      <w:r w:rsidR="4C122086" w:rsidRPr="006E3D43">
        <w:rPr>
          <w:rFonts w:eastAsia="Times New Roman" w:cs="Times New Roman"/>
        </w:rPr>
        <w:t>study</w:t>
      </w:r>
      <w:r w:rsidRPr="006E3D43">
        <w:rPr>
          <w:rFonts w:eastAsia="Times New Roman" w:cs="Times New Roman"/>
        </w:rPr>
        <w:t xml:space="preserve"> locations spanning four Pacific Island nations: the Marshall </w:t>
      </w:r>
      <w:r w:rsidRPr="006E3D43">
        <w:rPr>
          <w:rFonts w:eastAsia="Times New Roman" w:cs="Times New Roman"/>
        </w:rPr>
        <w:lastRenderedPageBreak/>
        <w:t xml:space="preserve">Islands, the Federated States of Micronesia (FSM), the Solomon Islands, and Nauru. </w:t>
      </w:r>
      <w:r w:rsidR="468F9AF7" w:rsidRPr="006E3D43">
        <w:rPr>
          <w:rFonts w:eastAsia="Times New Roman" w:cs="Times New Roman"/>
        </w:rPr>
        <w:t>The monitoring system uses Integrated Multi-</w:t>
      </w:r>
      <w:proofErr w:type="spellStart"/>
      <w:r w:rsidR="468F9AF7" w:rsidRPr="006E3D43">
        <w:rPr>
          <w:rFonts w:eastAsia="Times New Roman" w:cs="Times New Roman"/>
        </w:rPr>
        <w:t>satellitE</w:t>
      </w:r>
      <w:proofErr w:type="spellEnd"/>
      <w:r w:rsidR="468F9AF7" w:rsidRPr="006E3D43">
        <w:rPr>
          <w:rFonts w:eastAsia="Times New Roman" w:cs="Times New Roman"/>
        </w:rPr>
        <w:t xml:space="preserve"> Retrievals for Global Precipitation Measurement (IMERG) satellite data to generate monthly precipitation estimates at each location and evaluates those estimates against a 25-year (2000–2024) historical baseline using two complementary drought indices. The first is a quintile-based Rainfall Index that classifies conditions as Drier, Dry, Typical, Wet, or Wetter relative to the historical distribution for that specific location and calendar month. The second is the Pacific ENSO Applications Climate Center (PEAC) 4/8-inch index, which applies fixed monthly thresholds to flag periods of potential risk to water supply and catchment systems regardless of local climatic context. Building on the Marshall Islands monitoring framework of Senay and others (2023), the expanded protocol introduces 3- and 6-month rolling precipitation indices to detect developing seasonal drought and prolonged hydrological stress</w:t>
      </w:r>
      <w:r w:rsidR="4E890285" w:rsidRPr="006E3D43">
        <w:rPr>
          <w:rFonts w:eastAsia="Times New Roman" w:cs="Times New Roman"/>
        </w:rPr>
        <w:t>, which single-month indices cannot capture reliably</w:t>
      </w:r>
      <w:r w:rsidR="468F9AF7" w:rsidRPr="006E3D43">
        <w:rPr>
          <w:rFonts w:eastAsia="Times New Roman" w:cs="Times New Roman"/>
        </w:rPr>
        <w:t xml:space="preserve">. </w:t>
      </w:r>
    </w:p>
    <w:p w14:paraId="2409443A" w14:textId="20EB7C16" w:rsidR="64E60BC9" w:rsidRDefault="00D720A1" w:rsidP="006E3D43">
      <w:pPr>
        <w:pStyle w:val="Head3"/>
      </w:pPr>
      <w:bookmarkStart w:id="45" w:name="_Toc228290439"/>
      <w:r>
        <w:t>IMERG</w:t>
      </w:r>
      <w:bookmarkEnd w:id="45"/>
      <w:r>
        <w:t xml:space="preserve"> </w:t>
      </w:r>
    </w:p>
    <w:p w14:paraId="3017E352" w14:textId="5D9256E2" w:rsidR="64E60BC9" w:rsidRPr="006E3D43" w:rsidRDefault="0A27A7EE" w:rsidP="001A5688">
      <w:pPr>
        <w:ind w:firstLine="720"/>
        <w:rPr>
          <w:rFonts w:eastAsia="Times New Roman" w:cs="Times New Roman"/>
        </w:rPr>
      </w:pPr>
      <w:r w:rsidRPr="006E3D43">
        <w:rPr>
          <w:rFonts w:eastAsia="Times New Roman" w:cs="Times New Roman"/>
        </w:rPr>
        <w:t>NASA produces IMERG in three processing streams with increasing latency and accuracy: the Early Run (available within hours), the Late Run (1-day lag, incorporating additional satellite inputs), and the Final Run (1–</w:t>
      </w:r>
      <w:proofErr w:type="gramStart"/>
      <w:r w:rsidRPr="006E3D43">
        <w:rPr>
          <w:rFonts w:eastAsia="Times New Roman" w:cs="Times New Roman"/>
        </w:rPr>
        <w:t>6 month</w:t>
      </w:r>
      <w:proofErr w:type="gramEnd"/>
      <w:r w:rsidRPr="006E3D43">
        <w:rPr>
          <w:rFonts w:eastAsia="Times New Roman" w:cs="Times New Roman"/>
        </w:rPr>
        <w:t xml:space="preserve"> lag, incorporating monthly rain-gauge analyses). The Early Run product is used here because its latency is compatible with operational monthly reporting workflows</w:t>
      </w:r>
      <w:r w:rsidR="0F9E7250" w:rsidRPr="68F659C6">
        <w:rPr>
          <w:rFonts w:eastAsia="Times New Roman" w:cs="Times New Roman"/>
        </w:rPr>
        <w:t>.</w:t>
      </w:r>
      <w:r w:rsidRPr="006E3D43">
        <w:rPr>
          <w:rFonts w:eastAsia="Times New Roman" w:cs="Times New Roman"/>
        </w:rPr>
        <w:t xml:space="preserve"> Early Run data for a complete calendar month can be processed within days of the month's end, enabling timely delivery of drought index updates. For each monitoring location, a polygon shapefile delineating the relevant atoll or basin boundary was used to define the spatial domain of precipitation extraction. Zonal statistics (</w:t>
      </w:r>
      <w:proofErr w:type="gramStart"/>
      <w:r w:rsidRPr="006E3D43">
        <w:rPr>
          <w:rFonts w:eastAsia="Times New Roman" w:cs="Times New Roman"/>
        </w:rPr>
        <w:t>mean of</w:t>
      </w:r>
      <w:proofErr w:type="gramEnd"/>
      <w:r w:rsidRPr="006E3D43">
        <w:rPr>
          <w:rFonts w:eastAsia="Times New Roman" w:cs="Times New Roman"/>
        </w:rPr>
        <w:t xml:space="preserve"> all pixels intersecting the monitoring polygon) were computed using the R statistical computing </w:t>
      </w:r>
      <w:r w:rsidRPr="006E3D43">
        <w:rPr>
          <w:rFonts w:eastAsia="Times New Roman" w:cs="Times New Roman"/>
        </w:rPr>
        <w:lastRenderedPageBreak/>
        <w:t>environment (R Core Team, 2024) with the terra (</w:t>
      </w:r>
      <w:proofErr w:type="spellStart"/>
      <w:r w:rsidRPr="006E3D43">
        <w:rPr>
          <w:rFonts w:eastAsia="Times New Roman" w:cs="Times New Roman"/>
        </w:rPr>
        <w:t>Hijmans</w:t>
      </w:r>
      <w:proofErr w:type="spellEnd"/>
      <w:r w:rsidRPr="006E3D43">
        <w:rPr>
          <w:rFonts w:eastAsia="Times New Roman" w:cs="Times New Roman"/>
        </w:rPr>
        <w:t>, 2024) and raster spatial processing packages.</w:t>
      </w:r>
    </w:p>
    <w:p w14:paraId="1E7238EE" w14:textId="2879A296" w:rsidR="64E60BC9" w:rsidRPr="006E3D43" w:rsidRDefault="0A27A7EE" w:rsidP="006E3D43">
      <w:pPr>
        <w:ind w:firstLine="720"/>
        <w:rPr>
          <w:rFonts w:eastAsia="Times New Roman" w:cs="Times New Roman"/>
        </w:rPr>
      </w:pPr>
      <w:r w:rsidRPr="006E3D43">
        <w:rPr>
          <w:rFonts w:eastAsia="Times New Roman" w:cs="Times New Roman"/>
        </w:rPr>
        <w:t xml:space="preserve">Daily IMERG Early Run values are aggregated to monthly totals by summing all valid daily estimates within the calendar month for each monitoring polygon. Processing is parallelized across years using the </w:t>
      </w:r>
      <w:proofErr w:type="spellStart"/>
      <w:proofErr w:type="gramStart"/>
      <w:r w:rsidRPr="006E3D43">
        <w:rPr>
          <w:rFonts w:eastAsia="Times New Roman" w:cs="Times New Roman"/>
        </w:rPr>
        <w:t>future</w:t>
      </w:r>
      <w:r w:rsidR="00552BBF">
        <w:rPr>
          <w:rFonts w:eastAsia="Times New Roman" w:cs="Times New Roman"/>
        </w:rPr>
        <w:t>.</w:t>
      </w:r>
      <w:r w:rsidRPr="006E3D43">
        <w:rPr>
          <w:rFonts w:eastAsia="Times New Roman" w:cs="Times New Roman"/>
        </w:rPr>
        <w:t>apply</w:t>
      </w:r>
      <w:proofErr w:type="spellEnd"/>
      <w:proofErr w:type="gramEnd"/>
      <w:r w:rsidRPr="006E3D43">
        <w:rPr>
          <w:rFonts w:eastAsia="Times New Roman" w:cs="Times New Roman"/>
        </w:rPr>
        <w:t xml:space="preserve"> R package (Bengtsson, 2021), with three concurrent sessions, substantially reducing computation time for the full 2000–2026 record. Monthly totals and per-location time-series data are exported to comma-separated value (CSV) files for downstream index computation and visualization.</w:t>
      </w:r>
    </w:p>
    <w:p w14:paraId="7E5DFDD4" w14:textId="07E05AD9" w:rsidR="64E60BC9" w:rsidRDefault="0A27A7EE" w:rsidP="006E3D43">
      <w:pPr>
        <w:pStyle w:val="Head3"/>
      </w:pPr>
      <w:bookmarkStart w:id="46" w:name="_Toc228290440"/>
      <w:r w:rsidRPr="68F659C6">
        <w:t>Historical Baseline</w:t>
      </w:r>
      <w:bookmarkEnd w:id="46"/>
    </w:p>
    <w:p w14:paraId="447BD3CA" w14:textId="7CFD9175" w:rsidR="64E60BC9" w:rsidRPr="006E3D43" w:rsidRDefault="7EA540FA" w:rsidP="006E3D43">
      <w:pPr>
        <w:spacing w:after="0"/>
        <w:ind w:firstLine="720"/>
        <w:rPr>
          <w:rFonts w:eastAsia="Times New Roman" w:cs="Times New Roman"/>
          <w:color w:val="000000" w:themeColor="text1"/>
        </w:rPr>
      </w:pPr>
      <w:r w:rsidRPr="006E3D43">
        <w:rPr>
          <w:rFonts w:eastAsia="Times New Roman" w:cs="Times New Roman"/>
          <w:color w:val="000000" w:themeColor="text1"/>
        </w:rPr>
        <w:t>A 25-year baseline (2000–2024) was chosen to calculate statistical reference distributions for each location and calendar month, providing enough data to capture seasonal and ENSO-driven precipitation variability. This period covers several El Niño and La Niña cycles and includes a balanced mix of these conditions, ensuring the baseline quintile thresholds reflect realistic climate variation at each site.</w:t>
      </w:r>
    </w:p>
    <w:p w14:paraId="4321F75B" w14:textId="521C163C" w:rsidR="64E60BC9" w:rsidRPr="006E3D43" w:rsidRDefault="7EA540FA" w:rsidP="006E3D43">
      <w:pPr>
        <w:ind w:firstLine="720"/>
        <w:rPr>
          <w:rFonts w:eastAsia="Times New Roman" w:cs="Times New Roman"/>
        </w:rPr>
      </w:pPr>
      <w:r w:rsidRPr="006E3D43">
        <w:rPr>
          <w:rFonts w:eastAsia="Times New Roman" w:cs="Times New Roman"/>
          <w:color w:val="000000" w:themeColor="text1"/>
        </w:rPr>
        <w:t xml:space="preserve">Monthly precipitation at Pacific Island sites tends to be right-skewed, especially in dry areas or seasons with low rainfall but </w:t>
      </w:r>
      <w:proofErr w:type="gramStart"/>
      <w:r w:rsidRPr="006E3D43">
        <w:rPr>
          <w:rFonts w:eastAsia="Times New Roman" w:cs="Times New Roman"/>
          <w:color w:val="000000" w:themeColor="text1"/>
        </w:rPr>
        <w:t>occasional</w:t>
      </w:r>
      <w:proofErr w:type="gramEnd"/>
      <w:r w:rsidRPr="006E3D43">
        <w:rPr>
          <w:rFonts w:eastAsia="Times New Roman" w:cs="Times New Roman"/>
          <w:color w:val="000000" w:themeColor="text1"/>
        </w:rPr>
        <w:t xml:space="preserve"> heavy convective events. </w:t>
      </w:r>
      <w:r w:rsidRPr="006E3D43">
        <w:rPr>
          <w:rFonts w:eastAsia="Times New Roman" w:cs="Times New Roman"/>
        </w:rPr>
        <w:t xml:space="preserve">For this reason, nonparametric quintile statistics are used to characterize the baseline in preference to parametric approaches based on the normal distribution </w:t>
      </w:r>
      <w:proofErr w:type="gramStart"/>
      <w:r w:rsidRPr="006E3D43">
        <w:rPr>
          <w:rFonts w:eastAsia="Times New Roman" w:cs="Times New Roman"/>
        </w:rPr>
        <w:t>(</w:t>
      </w:r>
      <w:r w:rsidR="3FC69527" w:rsidRPr="68F659C6">
        <w:rPr>
          <w:rFonts w:eastAsia="Times New Roman" w:cs="Times New Roman"/>
        </w:rPr>
        <w:t xml:space="preserve"> Senay</w:t>
      </w:r>
      <w:proofErr w:type="gramEnd"/>
      <w:r w:rsidR="3FC69527" w:rsidRPr="68F659C6">
        <w:rPr>
          <w:rFonts w:eastAsia="Times New Roman" w:cs="Times New Roman"/>
        </w:rPr>
        <w:t xml:space="preserve"> et al., 2023</w:t>
      </w:r>
      <w:r w:rsidRPr="006E3D43">
        <w:rPr>
          <w:rFonts w:eastAsia="Times New Roman" w:cs="Times New Roman"/>
        </w:rPr>
        <w:t xml:space="preserve">). The monthly median is used as the measure of central tendency rather than the mean, as the median is more resistant to the influence of extreme high-rainfall months and provides a more stable estimate of typical precipitation. </w:t>
      </w:r>
    </w:p>
    <w:p w14:paraId="4E1F060A" w14:textId="25F55B75" w:rsidR="64E60BC9" w:rsidRDefault="0A27A7EE" w:rsidP="006E3D43">
      <w:pPr>
        <w:pStyle w:val="Head3"/>
      </w:pPr>
      <w:bookmarkStart w:id="47" w:name="_Toc228290441"/>
      <w:r w:rsidRPr="68F659C6">
        <w:lastRenderedPageBreak/>
        <w:t>Drought Indices</w:t>
      </w:r>
      <w:bookmarkEnd w:id="47"/>
    </w:p>
    <w:p w14:paraId="2C57DC6C" w14:textId="14F7E826" w:rsidR="64E60BC9" w:rsidRDefault="0A27A7EE" w:rsidP="006E3D43">
      <w:pPr>
        <w:pStyle w:val="Head4"/>
      </w:pPr>
      <w:bookmarkStart w:id="48" w:name="_Toc228290442"/>
      <w:r w:rsidRPr="68F659C6">
        <w:t>Quintile-Based Rainfall Index: 1-Month</w:t>
      </w:r>
      <w:bookmarkEnd w:id="48"/>
    </w:p>
    <w:p w14:paraId="59A272DA" w14:textId="6D2F56B4" w:rsidR="64E60BC9" w:rsidRPr="006E3D43" w:rsidRDefault="7EA540FA" w:rsidP="006E3D43">
      <w:pPr>
        <w:spacing w:after="0"/>
        <w:ind w:firstLine="280"/>
        <w:rPr>
          <w:rFonts w:eastAsia="Times New Roman" w:cs="Times New Roman"/>
        </w:rPr>
      </w:pPr>
      <w:r w:rsidRPr="006E3D43">
        <w:rPr>
          <w:rFonts w:eastAsia="Times New Roman" w:cs="Times New Roman"/>
          <w:color w:val="000000" w:themeColor="text1"/>
        </w:rPr>
        <w:t xml:space="preserve">The 1-month Rainfall Index compares each location's precipitation for the current month to quintiles calculated from 25 years of historical data specific to that site and calendar month. These quintile thresholds are determined separately for each location and month, accounting for notable differences in rainfall patterns by area and season. There are five classification groups, each defined by </w:t>
      </w:r>
      <w:proofErr w:type="gramStart"/>
      <w:r w:rsidRPr="006E3D43">
        <w:rPr>
          <w:rFonts w:eastAsia="Times New Roman" w:cs="Times New Roman"/>
          <w:color w:val="000000" w:themeColor="text1"/>
        </w:rPr>
        <w:t>its</w:t>
      </w:r>
      <w:proofErr w:type="gramEnd"/>
      <w:r w:rsidRPr="006E3D43">
        <w:rPr>
          <w:rFonts w:eastAsia="Times New Roman" w:cs="Times New Roman"/>
          <w:color w:val="000000" w:themeColor="text1"/>
        </w:rPr>
        <w:t xml:space="preserve"> corresponding quintile range </w:t>
      </w:r>
      <w:r w:rsidRPr="006E3D43">
        <w:rPr>
          <w:rFonts w:eastAsia="Times New Roman" w:cs="Times New Roman"/>
        </w:rPr>
        <w:t>as follows:</w:t>
      </w:r>
    </w:p>
    <w:p w14:paraId="361FC60A" w14:textId="7604442A" w:rsidR="64E60BC9" w:rsidRPr="006E3D43" w:rsidRDefault="7EA540FA" w:rsidP="006E3D43">
      <w:pPr>
        <w:pStyle w:val="ListParagraph"/>
        <w:numPr>
          <w:ilvl w:val="0"/>
          <w:numId w:val="7"/>
        </w:numPr>
        <w:spacing w:after="0"/>
        <w:ind w:left="540" w:hanging="260"/>
        <w:rPr>
          <w:rFonts w:eastAsia="Times New Roman" w:cs="Times New Roman"/>
        </w:rPr>
      </w:pPr>
      <w:r w:rsidRPr="006E3D43">
        <w:rPr>
          <w:rFonts w:eastAsia="Times New Roman" w:cs="Times New Roman"/>
        </w:rPr>
        <w:t>Drier — Below the 20th percentile (bottom quintile): precipitation is among the lowest 20 percent of observations for that location and month in the 25-year baseline</w:t>
      </w:r>
    </w:p>
    <w:p w14:paraId="5BDDAADF" w14:textId="566D13E5" w:rsidR="64E60BC9" w:rsidRPr="006E3D43" w:rsidRDefault="7EA540FA" w:rsidP="006E3D43">
      <w:pPr>
        <w:pStyle w:val="ListParagraph"/>
        <w:numPr>
          <w:ilvl w:val="0"/>
          <w:numId w:val="7"/>
        </w:numPr>
        <w:spacing w:after="0"/>
        <w:ind w:left="540" w:hanging="260"/>
        <w:rPr>
          <w:rFonts w:eastAsia="Times New Roman" w:cs="Times New Roman"/>
        </w:rPr>
      </w:pPr>
      <w:r w:rsidRPr="006E3D43">
        <w:rPr>
          <w:rFonts w:eastAsia="Times New Roman" w:cs="Times New Roman"/>
        </w:rPr>
        <w:t>Dry — 20th to 39th percentile (second quintile): precipitation is below the median but above the Drier threshold</w:t>
      </w:r>
    </w:p>
    <w:p w14:paraId="609714CF" w14:textId="7BF90E05" w:rsidR="64E60BC9" w:rsidRPr="006E3D43" w:rsidRDefault="7EA540FA" w:rsidP="006E3D43">
      <w:pPr>
        <w:pStyle w:val="ListParagraph"/>
        <w:numPr>
          <w:ilvl w:val="0"/>
          <w:numId w:val="7"/>
        </w:numPr>
        <w:spacing w:after="0"/>
        <w:ind w:left="540" w:hanging="260"/>
        <w:rPr>
          <w:rFonts w:eastAsia="Times New Roman" w:cs="Times New Roman"/>
        </w:rPr>
      </w:pPr>
      <w:r w:rsidRPr="006E3D43">
        <w:rPr>
          <w:rFonts w:eastAsia="Times New Roman" w:cs="Times New Roman"/>
        </w:rPr>
        <w:t>Typical — 40th to 59th percentile (middle quintile): precipitation spans the median and represents the most common range of historical observations</w:t>
      </w:r>
    </w:p>
    <w:p w14:paraId="664AA745" w14:textId="50BCA4EA" w:rsidR="64E60BC9" w:rsidRPr="006E3D43" w:rsidRDefault="7EA540FA" w:rsidP="006E3D43">
      <w:pPr>
        <w:pStyle w:val="ListParagraph"/>
        <w:numPr>
          <w:ilvl w:val="0"/>
          <w:numId w:val="7"/>
        </w:numPr>
        <w:spacing w:after="0"/>
        <w:ind w:left="540" w:hanging="260"/>
        <w:rPr>
          <w:rFonts w:eastAsia="Times New Roman" w:cs="Times New Roman"/>
        </w:rPr>
      </w:pPr>
      <w:r w:rsidRPr="006E3D43">
        <w:rPr>
          <w:rFonts w:eastAsia="Times New Roman" w:cs="Times New Roman"/>
        </w:rPr>
        <w:t>Wet — 60th to 79th percentile (fourth quintile): precipitation exceeds the median but is below the Wetter threshold</w:t>
      </w:r>
    </w:p>
    <w:p w14:paraId="1C5FBB66" w14:textId="682ED03E" w:rsidR="64E60BC9" w:rsidRPr="006E3D43" w:rsidRDefault="7EA540FA" w:rsidP="006E3D43">
      <w:pPr>
        <w:pStyle w:val="ListParagraph"/>
        <w:numPr>
          <w:ilvl w:val="0"/>
          <w:numId w:val="7"/>
        </w:numPr>
        <w:spacing w:after="0"/>
        <w:ind w:left="540" w:hanging="260"/>
        <w:rPr>
          <w:rFonts w:eastAsia="Times New Roman" w:cs="Times New Roman"/>
        </w:rPr>
      </w:pPr>
      <w:r w:rsidRPr="006E3D43">
        <w:rPr>
          <w:rFonts w:eastAsia="Times New Roman" w:cs="Times New Roman"/>
        </w:rPr>
        <w:t>Wetter — Above the 80th percentile (top quintile): precipitation is among the highest 20 percent of observations for that location and month</w:t>
      </w:r>
    </w:p>
    <w:p w14:paraId="07E12343" w14:textId="4EB07B72" w:rsidR="64E60BC9" w:rsidRPr="006E3D43" w:rsidRDefault="0A27A7EE" w:rsidP="006E3D43">
      <w:pPr>
        <w:rPr>
          <w:rFonts w:eastAsia="Times New Roman" w:cs="Times New Roman"/>
        </w:rPr>
      </w:pPr>
      <w:r w:rsidRPr="006E3D43">
        <w:rPr>
          <w:rFonts w:eastAsia="Times New Roman" w:cs="Times New Roman"/>
        </w:rPr>
        <w:t xml:space="preserve">Each classification category is rendered as a distinct color in the monthly report charts and summary tables to enable rapid visual assessment of conditions across the monitoring network. It is important to recognize that the Rainfall Index characterizes relative, location-specific conditions. A chronically dry site may receive very little precipitation in absolute terms but still be classified as Typical if the observed total falls within the middle quintile of its own historical </w:t>
      </w:r>
      <w:r w:rsidRPr="006E3D43">
        <w:rPr>
          <w:rFonts w:eastAsia="Times New Roman" w:cs="Times New Roman"/>
        </w:rPr>
        <w:lastRenderedPageBreak/>
        <w:t>record. For this reason, the Rainfall Index is always interpreted alongside the absolute PEAC 4/8-inch index described later below.</w:t>
      </w:r>
    </w:p>
    <w:p w14:paraId="7984D126" w14:textId="790BA355" w:rsidR="64E60BC9" w:rsidRDefault="0A27A7EE" w:rsidP="006E3D43">
      <w:pPr>
        <w:pStyle w:val="Head4"/>
      </w:pPr>
      <w:bookmarkStart w:id="49" w:name="_Toc228290443"/>
      <w:r w:rsidRPr="68F659C6">
        <w:t>Quintile-Based Rainfall Index: 3-Month and 6-Month Rolling</w:t>
      </w:r>
      <w:bookmarkEnd w:id="49"/>
    </w:p>
    <w:p w14:paraId="5B5F3C72" w14:textId="5B35AE1D" w:rsidR="64E60BC9" w:rsidRPr="006E3D43" w:rsidRDefault="0A27A7EE" w:rsidP="15667FCF">
      <w:pPr>
        <w:ind w:firstLine="720"/>
        <w:rPr>
          <w:rFonts w:eastAsia="Times New Roman" w:cs="Times New Roman"/>
        </w:rPr>
      </w:pPr>
      <w:r w:rsidRPr="006E3D43">
        <w:rPr>
          <w:rFonts w:eastAsia="Times New Roman" w:cs="Times New Roman"/>
        </w:rPr>
        <w:t>The original Marshall Islands monitoring protocol (</w:t>
      </w:r>
      <w:r w:rsidR="7067B377" w:rsidRPr="15667FCF">
        <w:rPr>
          <w:rFonts w:eastAsia="Times New Roman" w:cs="Times New Roman"/>
        </w:rPr>
        <w:t>Senay et al., 2023</w:t>
      </w:r>
      <w:r w:rsidRPr="006E3D43">
        <w:rPr>
          <w:rFonts w:eastAsia="Times New Roman" w:cs="Times New Roman"/>
        </w:rPr>
        <w:t>) employed a 1-month Rainfall Index as its primary drought classification tool. While the 1-month index provides sensitive detection of immediate precipitation anomalies, it is susceptible to month-to-month variability and does not characterize the accumulation of precipitation deficits across multiple months — the hydrological process most directly linked to drought impacts on water supply systems, groundwater recharge, and ecosystem health.</w:t>
      </w:r>
    </w:p>
    <w:p w14:paraId="1176EFB2" w14:textId="4CA337C4" w:rsidR="64E60BC9" w:rsidRPr="006E3D43" w:rsidRDefault="0A27A7EE" w:rsidP="15667FCF">
      <w:pPr>
        <w:ind w:firstLine="720"/>
        <w:rPr>
          <w:rFonts w:eastAsia="Times New Roman" w:cs="Times New Roman"/>
        </w:rPr>
      </w:pPr>
      <w:r w:rsidRPr="006E3D43">
        <w:rPr>
          <w:rFonts w:eastAsia="Times New Roman" w:cs="Times New Roman"/>
        </w:rPr>
        <w:t xml:space="preserve">To address this limitation, 3- and 6-month rolling precipitation indices were introduced as a methodological enhancement in the expanded Pacific monitoring protocol. For each location and each month in the time series, 3- and 6-month rolling precipitation sums are computed by summing precipitation totals over the preceding 3 or 6 calendar months respectively. Rolling sums are computed using the </w:t>
      </w:r>
      <w:proofErr w:type="spellStart"/>
      <w:r w:rsidRPr="006E3D43">
        <w:rPr>
          <w:rFonts w:eastAsia="Times New Roman" w:cs="Times New Roman"/>
        </w:rPr>
        <w:t>rollsum</w:t>
      </w:r>
      <w:proofErr w:type="spellEnd"/>
      <w:r w:rsidRPr="006E3D43">
        <w:rPr>
          <w:rFonts w:eastAsia="Times New Roman" w:cs="Times New Roman"/>
        </w:rPr>
        <w:t xml:space="preserve"> function from the zoo R package with right alignment, such that the rolling total for a given month encompasses that month and the preceding 2 or 5 months. Historical quintile thresholds for the rolling sums are then derived from the corresponding 25-year sequences of rolling totals, computed independently for each location and terminal calendar month, yielding the same five-category classification (Drier through Wetter) with thresholds appropriate to the multi-month accumulation context.</w:t>
      </w:r>
    </w:p>
    <w:p w14:paraId="7CBD58FB" w14:textId="20E5F57C" w:rsidR="64E60BC9" w:rsidRPr="006E3D43" w:rsidRDefault="0A27A7EE" w:rsidP="15667FCF">
      <w:pPr>
        <w:ind w:firstLine="720"/>
        <w:rPr>
          <w:rFonts w:eastAsia="Times New Roman" w:cs="Times New Roman"/>
        </w:rPr>
      </w:pPr>
      <w:r w:rsidRPr="006E3D43">
        <w:rPr>
          <w:rFonts w:eastAsia="Times New Roman" w:cs="Times New Roman"/>
        </w:rPr>
        <w:t xml:space="preserve">The interpretive significance of the 3- and 6-month indices differs from the 1-month index in important ways. Persistent Dry or Drier classification across the 3- and 6-month indices indicates that cumulative precipitation deficits extend across multiple consecutive months, </w:t>
      </w:r>
      <w:r w:rsidRPr="006E3D43">
        <w:rPr>
          <w:rFonts w:eastAsia="Times New Roman" w:cs="Times New Roman"/>
        </w:rPr>
        <w:lastRenderedPageBreak/>
        <w:t>signaling elevated risk of hydrological drought that may affect reservoir storage, groundwater recharge, and catchment replenishment. A single Dry month that is preceded by Wet months will typically not produce a Dry 3-month index, distinguishing a transient deficit from a sustained one. Conversely, a month classified as Typical in the 1-month index may contribute to a Dry 3- or 6-month index if the preceding months were also below the median, providing an early warning of developing multi-month stress that would not be apparent from the 1-month index alone.</w:t>
      </w:r>
    </w:p>
    <w:p w14:paraId="16A9BABF" w14:textId="6FB4B83C" w:rsidR="64E60BC9" w:rsidRDefault="0A27A7EE" w:rsidP="006E3D43">
      <w:pPr>
        <w:pStyle w:val="Head4"/>
      </w:pPr>
      <w:bookmarkStart w:id="50" w:name="_Toc228290444"/>
      <w:r w:rsidRPr="68F659C6">
        <w:t>PEAC 4/8-inch Index</w:t>
      </w:r>
      <w:bookmarkEnd w:id="50"/>
    </w:p>
    <w:p w14:paraId="271C50CA" w14:textId="568472C3" w:rsidR="64E60BC9" w:rsidRPr="006E3D43" w:rsidRDefault="0A27A7EE" w:rsidP="006E3D43">
      <w:pPr>
        <w:ind w:firstLine="280"/>
        <w:rPr>
          <w:rFonts w:eastAsia="Times New Roman" w:cs="Times New Roman"/>
        </w:rPr>
      </w:pPr>
      <w:r w:rsidRPr="006E3D43">
        <w:rPr>
          <w:rFonts w:eastAsia="Times New Roman" w:cs="Times New Roman"/>
        </w:rPr>
        <w:t>The Pacific ENSO Applications Climate Center (PEAC) 4/8-inch index applies absolute monthly precipitation thresholds to classify conditions in terms of potential adequacy for municipal and household water supply systems. The thresholds derive from long-standing operational guidance used by PEAC in their regional monitoring updates and reflect empirical relationships between monthly rainfall totals and drought impacts documented across the U.S.-affiliated Pacific Islands (PEAC, 2015). The classification criteria are:</w:t>
      </w:r>
    </w:p>
    <w:p w14:paraId="610464E3" w14:textId="0176C28A" w:rsidR="64E60BC9" w:rsidRPr="006E3D43" w:rsidRDefault="0A27A7EE" w:rsidP="006E3D43">
      <w:pPr>
        <w:pStyle w:val="ListParagraph"/>
        <w:numPr>
          <w:ilvl w:val="0"/>
          <w:numId w:val="7"/>
        </w:numPr>
        <w:spacing w:after="0"/>
        <w:ind w:left="540" w:hanging="260"/>
        <w:rPr>
          <w:rFonts w:eastAsia="Times New Roman" w:cs="Times New Roman"/>
        </w:rPr>
      </w:pPr>
      <w:r w:rsidRPr="006E3D43">
        <w:rPr>
          <w:rFonts w:eastAsia="Times New Roman" w:cs="Times New Roman"/>
          <w:b/>
          <w:bCs/>
        </w:rPr>
        <w:t>Red</w:t>
      </w:r>
      <w:r w:rsidRPr="006E3D43">
        <w:rPr>
          <w:rFonts w:eastAsia="Times New Roman" w:cs="Times New Roman"/>
        </w:rPr>
        <w:t xml:space="preserve"> — Monthly precipitation less than 4 inches (101.6 mm): elevated risk to agricultural systems, rain catchment drawdown, and shallow groundwater depletion; wildfire risk increases substantially</w:t>
      </w:r>
    </w:p>
    <w:p w14:paraId="2F1CDB20" w14:textId="0D172C96" w:rsidR="64E60BC9" w:rsidRPr="006E3D43" w:rsidRDefault="0A27A7EE" w:rsidP="006E3D43">
      <w:pPr>
        <w:pStyle w:val="ListParagraph"/>
        <w:numPr>
          <w:ilvl w:val="0"/>
          <w:numId w:val="7"/>
        </w:numPr>
        <w:spacing w:after="0"/>
        <w:ind w:left="540" w:hanging="260"/>
        <w:rPr>
          <w:rFonts w:eastAsia="Times New Roman" w:cs="Times New Roman"/>
        </w:rPr>
      </w:pPr>
      <w:r w:rsidRPr="006E3D43">
        <w:rPr>
          <w:rFonts w:eastAsia="Times New Roman" w:cs="Times New Roman"/>
          <w:b/>
          <w:bCs/>
        </w:rPr>
        <w:t>Yellow</w:t>
      </w:r>
      <w:r w:rsidRPr="006E3D43">
        <w:rPr>
          <w:rFonts w:eastAsia="Times New Roman" w:cs="Times New Roman"/>
        </w:rPr>
        <w:t xml:space="preserve"> — Monthly precipitation 4.1–8 inches (101.6–203.2 mm): marginal conditions; may not fully sustain or replenish municipal catchment and surface water supply systems</w:t>
      </w:r>
    </w:p>
    <w:p w14:paraId="3D0B0A00" w14:textId="7E784DC2" w:rsidR="64E60BC9" w:rsidRPr="006E3D43" w:rsidRDefault="0A27A7EE" w:rsidP="006E3D43">
      <w:pPr>
        <w:pStyle w:val="ListParagraph"/>
        <w:numPr>
          <w:ilvl w:val="0"/>
          <w:numId w:val="7"/>
        </w:numPr>
        <w:spacing w:after="0"/>
        <w:ind w:left="540" w:hanging="260"/>
        <w:rPr>
          <w:rFonts w:eastAsia="Times New Roman" w:cs="Times New Roman"/>
        </w:rPr>
      </w:pPr>
      <w:r w:rsidRPr="006E3D43">
        <w:rPr>
          <w:rFonts w:eastAsia="Times New Roman" w:cs="Times New Roman"/>
          <w:b/>
          <w:bCs/>
        </w:rPr>
        <w:t>Dark Green</w:t>
      </w:r>
      <w:r w:rsidRPr="006E3D43">
        <w:rPr>
          <w:rFonts w:eastAsia="Times New Roman" w:cs="Times New Roman"/>
        </w:rPr>
        <w:t xml:space="preserve"> — Monthly precipitation greater than 8.1 inches (203.2 mm): adequate rainfall to sustain and replenish municipal and home rain catchment systems, maintain groundwater recharge, and greatly reduce wildfire risk</w:t>
      </w:r>
    </w:p>
    <w:p w14:paraId="0E11BF7C" w14:textId="49A8F057" w:rsidR="64E60BC9" w:rsidRDefault="0A27A7EE" w:rsidP="006E3D43">
      <w:pPr>
        <w:rPr>
          <w:rFonts w:eastAsia="Times New Roman" w:cs="Times New Roman"/>
        </w:rPr>
      </w:pPr>
      <w:r w:rsidRPr="006E3D43">
        <w:rPr>
          <w:rFonts w:eastAsia="Times New Roman" w:cs="Times New Roman"/>
        </w:rPr>
        <w:lastRenderedPageBreak/>
        <w:t>These thresholds are applied uniformly across all nine locations and all calendar months, regardless of each site's climatological context. This means that the PEAC index and the Rainfall Index will diverge for locations where typical precipitation levels fall near the 4-inch or 8-inch thresholds. For example, at Majuro or Nauru during their characteristically drier months, precipitation may be classified as Typical by the Rainfall Index (near the historical median for that location and month) while simultaneously receiving less than 8 inches and thus receiving a Yellow PEAC classification. This divergence is informative rather than contradictory: it reflects the chronic, baseline condition of marginal water supply adequacy at such locations, which persists even during meteorologically typical months (</w:t>
      </w:r>
      <w:r w:rsidR="5106D046" w:rsidRPr="68F659C6">
        <w:rPr>
          <w:rFonts w:eastAsia="Times New Roman" w:cs="Times New Roman"/>
        </w:rPr>
        <w:t>Senay et al., 2023</w:t>
      </w:r>
      <w:r w:rsidRPr="006E3D43">
        <w:rPr>
          <w:rFonts w:eastAsia="Times New Roman" w:cs="Times New Roman"/>
        </w:rPr>
        <w:t>). The two indices are therefore complementary: the Rainfall Index characterizes relative anomaly with respect to local norms, while the PEAC index provides an absolute, operationally meaningful signal independent of local climate.</w:t>
      </w:r>
    </w:p>
    <w:p w14:paraId="5C2C00C4" w14:textId="5DDA93FB" w:rsidR="477E6DAB" w:rsidRDefault="23E1B29F" w:rsidP="006E3D43">
      <w:pPr>
        <w:pStyle w:val="Head3"/>
      </w:pPr>
      <w:bookmarkStart w:id="51" w:name="_Toc228290445"/>
      <w:r w:rsidRPr="68F659C6">
        <w:t>Developing the Monitoring Report Template</w:t>
      </w:r>
      <w:bookmarkEnd w:id="51"/>
    </w:p>
    <w:p w14:paraId="32306C5B" w14:textId="790E1E4A" w:rsidR="477E6DAB" w:rsidRPr="006E3D43" w:rsidRDefault="4B003EE9" w:rsidP="68F659C6">
      <w:pPr>
        <w:rPr>
          <w:rFonts w:ascii="Arial" w:eastAsia="Arial" w:hAnsi="Arial" w:cs="Arial"/>
          <w:i/>
          <w:iCs/>
          <w:sz w:val="22"/>
          <w:szCs w:val="22"/>
        </w:rPr>
      </w:pPr>
      <w:r w:rsidRPr="006E3D43">
        <w:rPr>
          <w:rFonts w:ascii="Arial" w:eastAsia="Arial" w:hAnsi="Arial" w:cs="Arial"/>
          <w:i/>
          <w:iCs/>
          <w:sz w:val="22"/>
          <w:szCs w:val="22"/>
        </w:rPr>
        <w:t>Chart Design and Visual Elements</w:t>
      </w:r>
    </w:p>
    <w:p w14:paraId="2D323BB7" w14:textId="4EB6DAF9" w:rsidR="477E6DAB" w:rsidRPr="006E3D43" w:rsidRDefault="02CF78DB" w:rsidP="006E3D43">
      <w:pPr>
        <w:ind w:firstLine="720"/>
        <w:rPr>
          <w:rFonts w:eastAsia="Times New Roman" w:cs="Times New Roman"/>
        </w:rPr>
      </w:pPr>
      <w:r w:rsidRPr="006E3D43">
        <w:rPr>
          <w:rFonts w:eastAsia="Times New Roman" w:cs="Times New Roman"/>
        </w:rPr>
        <w:t xml:space="preserve">The visual core of each monthly report is a composite graphic for each monitoring location consisting of a precipitation time-series chart and an adjacent summary table. The chart format was designed to communicate simultaneously the magnitude of current-year precipitation, the historical statistical context from the 25-year baseline, and the drought index classification for the most recent month </w:t>
      </w:r>
      <w:r w:rsidR="5F7356FF" w:rsidRPr="68F659C6">
        <w:rPr>
          <w:rFonts w:eastAsia="Times New Roman" w:cs="Times New Roman"/>
        </w:rPr>
        <w:t>-</w:t>
      </w:r>
      <w:r w:rsidR="1794CFBD" w:rsidRPr="68F659C6">
        <w:rPr>
          <w:rFonts w:eastAsia="Times New Roman" w:cs="Times New Roman"/>
        </w:rPr>
        <w:t xml:space="preserve">- </w:t>
      </w:r>
      <w:r w:rsidRPr="006E3D43">
        <w:rPr>
          <w:rFonts w:eastAsia="Times New Roman" w:cs="Times New Roman"/>
        </w:rPr>
        <w:t>all within a single, compact graphic suitable for rapid interpretation by both technical and non-technical audiences.</w:t>
      </w:r>
    </w:p>
    <w:p w14:paraId="471FD0B7" w14:textId="57FB58B3" w:rsidR="477E6DAB" w:rsidRPr="006E3D43" w:rsidRDefault="02CF78DB" w:rsidP="006E3D43">
      <w:pPr>
        <w:ind w:firstLine="540"/>
        <w:rPr>
          <w:rFonts w:eastAsia="Times New Roman" w:cs="Times New Roman"/>
        </w:rPr>
      </w:pPr>
      <w:r w:rsidRPr="006E3D43">
        <w:rPr>
          <w:rFonts w:eastAsia="Times New Roman" w:cs="Times New Roman"/>
        </w:rPr>
        <w:t>The precipitation chart (</w:t>
      </w:r>
      <w:r w:rsidR="007D419B">
        <w:rPr>
          <w:rFonts w:eastAsia="Times New Roman" w:cs="Times New Roman"/>
          <w:highlight w:val="yellow"/>
        </w:rPr>
        <w:fldChar w:fldCharType="begin"/>
      </w:r>
      <w:r w:rsidR="007D419B">
        <w:rPr>
          <w:rFonts w:eastAsia="Times New Roman" w:cs="Times New Roman"/>
        </w:rPr>
        <w:instrText xml:space="preserve"> REF _Ref227325232 \h </w:instrText>
      </w:r>
      <w:r w:rsidR="007D419B">
        <w:rPr>
          <w:rFonts w:eastAsia="Times New Roman" w:cs="Times New Roman"/>
          <w:highlight w:val="yellow"/>
        </w:rPr>
      </w:r>
      <w:r w:rsidR="007D419B">
        <w:rPr>
          <w:rFonts w:eastAsia="Times New Roman" w:cs="Times New Roman"/>
          <w:highlight w:val="yellow"/>
        </w:rPr>
        <w:fldChar w:fldCharType="separate"/>
      </w:r>
      <w:r w:rsidR="007D419B">
        <w:t xml:space="preserve">Figure </w:t>
      </w:r>
      <w:r w:rsidR="007D419B">
        <w:rPr>
          <w:noProof/>
        </w:rPr>
        <w:t>3</w:t>
      </w:r>
      <w:r w:rsidR="007D419B">
        <w:rPr>
          <w:rFonts w:eastAsia="Times New Roman" w:cs="Times New Roman"/>
          <w:highlight w:val="yellow"/>
        </w:rPr>
        <w:fldChar w:fldCharType="end"/>
      </w:r>
      <w:r w:rsidRPr="006E3D43">
        <w:rPr>
          <w:rFonts w:eastAsia="Times New Roman" w:cs="Times New Roman"/>
        </w:rPr>
        <w:t>) contains the following elements displayed on a monthly x-axis spanning January through December of the current year:</w:t>
      </w:r>
    </w:p>
    <w:p w14:paraId="7781DBDA" w14:textId="290B840D" w:rsidR="477E6DAB" w:rsidRPr="006E3D43" w:rsidRDefault="02CF78DB" w:rsidP="006E3D43">
      <w:pPr>
        <w:pStyle w:val="ListParagraph"/>
        <w:numPr>
          <w:ilvl w:val="0"/>
          <w:numId w:val="2"/>
        </w:numPr>
        <w:spacing w:after="0"/>
        <w:ind w:left="540" w:hanging="260"/>
        <w:rPr>
          <w:rFonts w:eastAsia="Times New Roman" w:cs="Times New Roman"/>
        </w:rPr>
      </w:pPr>
      <w:r w:rsidRPr="006E3D43">
        <w:rPr>
          <w:rFonts w:eastAsia="Times New Roman" w:cs="Times New Roman"/>
        </w:rPr>
        <w:lastRenderedPageBreak/>
        <w:t>Orange bars — Monthly IMERG Early Run precipitation totals (in millimeters) for the current reporting year, January through the most recently completed month. Months with no data (future months) are blank. Bar heights reflect mean precipitation across the monitoring polygon.</w:t>
      </w:r>
    </w:p>
    <w:p w14:paraId="2C1235D7" w14:textId="23FDC66C" w:rsidR="477E6DAB" w:rsidRPr="006E3D43" w:rsidRDefault="02CF78DB" w:rsidP="006E3D43">
      <w:pPr>
        <w:pStyle w:val="ListParagraph"/>
        <w:numPr>
          <w:ilvl w:val="0"/>
          <w:numId w:val="2"/>
        </w:numPr>
        <w:spacing w:after="0"/>
        <w:ind w:left="540" w:hanging="260"/>
        <w:rPr>
          <w:rFonts w:eastAsia="Times New Roman" w:cs="Times New Roman"/>
        </w:rPr>
      </w:pPr>
      <w:r w:rsidRPr="006E3D43">
        <w:rPr>
          <w:rFonts w:eastAsia="Times New Roman" w:cs="Times New Roman"/>
        </w:rPr>
        <w:t xml:space="preserve">Blue line — The long-term monthly median derived from the 2000–2024 IMERG baseline, plotted at each calendar month position. The median provides a stable reference for whether current precipitation is above or below the historical central </w:t>
      </w:r>
      <w:proofErr w:type="gramStart"/>
      <w:r w:rsidRPr="006E3D43">
        <w:rPr>
          <w:rFonts w:eastAsia="Times New Roman" w:cs="Times New Roman"/>
        </w:rPr>
        <w:t>tendency, and</w:t>
      </w:r>
      <w:proofErr w:type="gramEnd"/>
      <w:r w:rsidRPr="006E3D43">
        <w:rPr>
          <w:rFonts w:eastAsia="Times New Roman" w:cs="Times New Roman"/>
        </w:rPr>
        <w:t xml:space="preserve"> is more resistant to the influence of extreme events than the mean.</w:t>
      </w:r>
    </w:p>
    <w:p w14:paraId="20605D3C" w14:textId="7CC8470F" w:rsidR="477E6DAB" w:rsidRPr="006E3D43" w:rsidRDefault="02CF78DB" w:rsidP="006E3D43">
      <w:pPr>
        <w:pStyle w:val="ListParagraph"/>
        <w:numPr>
          <w:ilvl w:val="0"/>
          <w:numId w:val="2"/>
        </w:numPr>
        <w:spacing w:after="0"/>
        <w:ind w:left="540" w:hanging="260"/>
        <w:rPr>
          <w:rFonts w:eastAsia="Times New Roman" w:cs="Times New Roman"/>
        </w:rPr>
      </w:pPr>
      <w:r w:rsidRPr="006E3D43">
        <w:rPr>
          <w:rFonts w:eastAsia="Times New Roman" w:cs="Times New Roman"/>
        </w:rPr>
        <w:t>Gray ribbon — The interquartile range (IQR; 25th to 75th percentile) of the 2000–2024 baseline for each calendar month, rendered as a semi-transparent filled band. The ribbon defines the zone within which the middle half of historical observations fell. Precipitation falling below the lower ribbon boundary was in the driest 25 percent of historical observations; precipitation above the upper boundary was in the wettest 25 percent. The ribbon provides rapid visual context for whether current-year bars are within, below, or above the typical historical range.</w:t>
      </w:r>
    </w:p>
    <w:p w14:paraId="1DB6339B" w14:textId="6086A77D" w:rsidR="477E6DAB" w:rsidRDefault="02CF78DB" w:rsidP="006E3D43">
      <w:pPr>
        <w:rPr>
          <w:rFonts w:eastAsia="Times New Roman" w:cs="Times New Roman"/>
        </w:rPr>
      </w:pPr>
      <w:r w:rsidRPr="006E3D43">
        <w:rPr>
          <w:rFonts w:eastAsia="Times New Roman" w:cs="Times New Roman"/>
        </w:rPr>
        <w:t>The y-axis is scaled dynamically for each location to the maximum of the historical Q3 and current-year precipitation values, with major gridlines and tick marks at 25-millimeter intervals. The x-axis displays abbreviated month-year labels (for example, Jan-2026)</w:t>
      </w:r>
      <w:r w:rsidRPr="15667FCF">
        <w:rPr>
          <w:rFonts w:eastAsia="Times New Roman" w:cs="Times New Roman"/>
        </w:rPr>
        <w:t xml:space="preserve">. </w:t>
      </w:r>
    </w:p>
    <w:p w14:paraId="5CAD40B8" w14:textId="1D68A11D" w:rsidR="477E6DAB" w:rsidRDefault="3C846D4D" w:rsidP="68F659C6">
      <w:pPr>
        <w:rPr>
          <w:rFonts w:eastAsia="Times New Roman" w:cs="Times New Roman"/>
        </w:rPr>
      </w:pPr>
      <w:r>
        <w:rPr>
          <w:noProof/>
        </w:rPr>
        <w:lastRenderedPageBreak/>
        <w:drawing>
          <wp:inline distT="0" distB="0" distL="0" distR="0" wp14:anchorId="3E81D19A" wp14:editId="679B9411">
            <wp:extent cx="5943600" cy="3130094"/>
            <wp:effectExtent l="0" t="0" r="0" b="0"/>
            <wp:docPr id="82047784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477848" name="Picture 820477848"/>
                    <pic:cNvPicPr/>
                  </pic:nvPicPr>
                  <pic:blipFill>
                    <a:blip r:embed="rId24">
                      <a:extLst>
                        <a:ext uri="{28A0092B-C50C-407E-A947-70E740481C1C}">
                          <a14:useLocalDpi xmlns:a14="http://schemas.microsoft.com/office/drawing/2010/main"/>
                        </a:ext>
                      </a:extLst>
                    </a:blip>
                    <a:srcRect b="12134"/>
                    <a:stretch>
                      <a:fillRect/>
                    </a:stretch>
                  </pic:blipFill>
                  <pic:spPr>
                    <a:xfrm>
                      <a:off x="0" y="0"/>
                      <a:ext cx="5943600" cy="3130094"/>
                    </a:xfrm>
                    <a:prstGeom prst="rect">
                      <a:avLst/>
                    </a:prstGeom>
                  </pic:spPr>
                </pic:pic>
              </a:graphicData>
            </a:graphic>
          </wp:inline>
        </w:drawing>
      </w:r>
    </w:p>
    <w:p w14:paraId="44D26621" w14:textId="45B520C6" w:rsidR="00882636" w:rsidRDefault="00882636" w:rsidP="006E3D43">
      <w:pPr>
        <w:pStyle w:val="Caption"/>
        <w:rPr>
          <w:rFonts w:eastAsia="Times New Roman"/>
          <w:b/>
          <w:bCs/>
          <w:sz w:val="22"/>
          <w:szCs w:val="22"/>
        </w:rPr>
      </w:pPr>
      <w:bookmarkStart w:id="52" w:name="_Ref227325232"/>
      <w:bookmarkStart w:id="53" w:name="_Toc228290763"/>
      <w:r>
        <w:t xml:space="preserve">Figure </w:t>
      </w:r>
      <w:r>
        <w:fldChar w:fldCharType="begin"/>
      </w:r>
      <w:r>
        <w:instrText xml:space="preserve"> SEQ Figure \* ARABIC </w:instrText>
      </w:r>
      <w:r>
        <w:fldChar w:fldCharType="separate"/>
      </w:r>
      <w:r w:rsidR="007A325D">
        <w:rPr>
          <w:noProof/>
        </w:rPr>
        <w:t>4</w:t>
      </w:r>
      <w:r>
        <w:fldChar w:fldCharType="end"/>
      </w:r>
      <w:bookmarkEnd w:id="52"/>
      <w:r>
        <w:t xml:space="preserve">. </w:t>
      </w:r>
      <w:r w:rsidRPr="00BF4573">
        <w:t>Example precipitation monitoring chart for a single location, Kosrae in the FSM. Orange bars represent current-year monthly totals; the blue line is the long-term monthly median; the gray ribbon is the interquartile range of the 2000–2024 baseline.</w:t>
      </w:r>
      <w:r w:rsidR="002E019A">
        <w:t xml:space="preserve"> </w:t>
      </w:r>
      <w:r w:rsidR="002E019A" w:rsidRPr="68F659C6">
        <w:rPr>
          <w:rFonts w:eastAsia="Times New Roman"/>
          <w:sz w:val="22"/>
          <w:szCs w:val="22"/>
        </w:rPr>
        <w:t>The summary table to the right reports the current-month precipitation, long-term median, and all three drought index classifications for the most recently completed month.</w:t>
      </w:r>
      <w:bookmarkEnd w:id="53"/>
    </w:p>
    <w:p w14:paraId="6E880A72" w14:textId="77777777" w:rsidR="004A2699" w:rsidRDefault="004A2699" w:rsidP="68F659C6">
      <w:pPr>
        <w:rPr>
          <w:rFonts w:ascii="Arial" w:eastAsia="Arial" w:hAnsi="Arial" w:cs="Arial"/>
          <w:i/>
          <w:iCs/>
          <w:color w:val="000000" w:themeColor="text1"/>
          <w:sz w:val="22"/>
          <w:szCs w:val="22"/>
        </w:rPr>
      </w:pPr>
    </w:p>
    <w:p w14:paraId="18B3F613" w14:textId="4093509A" w:rsidR="477E6DAB" w:rsidRDefault="2BF50211" w:rsidP="68F659C6">
      <w:pPr>
        <w:rPr>
          <w:rFonts w:ascii="Arial" w:eastAsia="Arial" w:hAnsi="Arial" w:cs="Arial"/>
          <w:i/>
          <w:iCs/>
          <w:sz w:val="22"/>
          <w:szCs w:val="22"/>
        </w:rPr>
      </w:pPr>
      <w:r w:rsidRPr="68F659C6">
        <w:rPr>
          <w:rFonts w:ascii="Arial" w:eastAsia="Arial" w:hAnsi="Arial" w:cs="Arial"/>
          <w:i/>
          <w:iCs/>
          <w:color w:val="000000" w:themeColor="text1"/>
          <w:sz w:val="22"/>
          <w:szCs w:val="22"/>
        </w:rPr>
        <w:t>Summary Table and Index Display</w:t>
      </w:r>
    </w:p>
    <w:p w14:paraId="4079973D" w14:textId="62C50F47" w:rsidR="477E6DAB" w:rsidRPr="006E3D43" w:rsidRDefault="3F9FA14E" w:rsidP="006E3D43">
      <w:pPr>
        <w:ind w:firstLine="540"/>
        <w:jc w:val="both"/>
        <w:rPr>
          <w:rFonts w:eastAsia="Times New Roman" w:cs="Times New Roman"/>
        </w:rPr>
      </w:pPr>
      <w:r w:rsidRPr="006E3D43">
        <w:rPr>
          <w:rFonts w:eastAsia="Times New Roman" w:cs="Times New Roman"/>
        </w:rPr>
        <w:t>Adjacent to each precipitation chart, a tabular summary presents six statistics for the most recently completed reporting month at that location:</w:t>
      </w:r>
    </w:p>
    <w:p w14:paraId="3C8E3410" w14:textId="57E36705" w:rsidR="477E6DAB" w:rsidRPr="006E3D43" w:rsidRDefault="3F9FA14E" w:rsidP="006E3D43">
      <w:pPr>
        <w:pStyle w:val="ListParagraph"/>
        <w:numPr>
          <w:ilvl w:val="0"/>
          <w:numId w:val="1"/>
        </w:numPr>
        <w:spacing w:after="0"/>
        <w:ind w:left="540" w:hanging="260"/>
        <w:rPr>
          <w:rFonts w:eastAsia="Times New Roman" w:cs="Times New Roman"/>
        </w:rPr>
      </w:pPr>
      <w:r w:rsidRPr="006E3D43">
        <w:rPr>
          <w:rFonts w:eastAsia="Times New Roman" w:cs="Times New Roman"/>
        </w:rPr>
        <w:t xml:space="preserve">Current-month precipitation in millimeters (for example, </w:t>
      </w:r>
      <w:r w:rsidR="36C1D4CE" w:rsidRPr="68F659C6">
        <w:rPr>
          <w:rFonts w:eastAsia="Times New Roman" w:cs="Times New Roman"/>
        </w:rPr>
        <w:t>Febr</w:t>
      </w:r>
      <w:r w:rsidRPr="006E3D43">
        <w:rPr>
          <w:rFonts w:eastAsia="Times New Roman" w:cs="Times New Roman"/>
        </w:rPr>
        <w:t>uary-2026 Precipitation)</w:t>
      </w:r>
    </w:p>
    <w:p w14:paraId="65209677" w14:textId="13D6F918" w:rsidR="477E6DAB" w:rsidRPr="006E3D43" w:rsidRDefault="3F9FA14E" w:rsidP="006E3D43">
      <w:pPr>
        <w:pStyle w:val="ListParagraph"/>
        <w:numPr>
          <w:ilvl w:val="0"/>
          <w:numId w:val="1"/>
        </w:numPr>
        <w:spacing w:after="0"/>
        <w:ind w:left="540" w:hanging="260"/>
        <w:rPr>
          <w:rFonts w:eastAsia="Times New Roman" w:cs="Times New Roman"/>
        </w:rPr>
      </w:pPr>
      <w:r w:rsidRPr="006E3D43">
        <w:rPr>
          <w:rFonts w:eastAsia="Times New Roman" w:cs="Times New Roman"/>
        </w:rPr>
        <w:t>Long-term monthly median precipitation in millimeters from the 2000–2024 baseline</w:t>
      </w:r>
    </w:p>
    <w:p w14:paraId="7055DD04" w14:textId="7E8E663F" w:rsidR="477E6DAB" w:rsidRPr="006E3D43" w:rsidRDefault="3F9FA14E" w:rsidP="006E3D43">
      <w:pPr>
        <w:pStyle w:val="ListParagraph"/>
        <w:numPr>
          <w:ilvl w:val="0"/>
          <w:numId w:val="1"/>
        </w:numPr>
        <w:spacing w:after="0"/>
        <w:ind w:left="540" w:hanging="260"/>
        <w:jc w:val="both"/>
        <w:rPr>
          <w:rFonts w:eastAsia="Times New Roman" w:cs="Times New Roman"/>
        </w:rPr>
      </w:pPr>
      <w:r w:rsidRPr="006E3D43">
        <w:rPr>
          <w:rFonts w:eastAsia="Times New Roman" w:cs="Times New Roman"/>
        </w:rPr>
        <w:t>1-Month Rainfall Index (Drier / Dry / Typical / Wet / Wetter)</w:t>
      </w:r>
    </w:p>
    <w:p w14:paraId="0AD79B22" w14:textId="5C66392E" w:rsidR="477E6DAB" w:rsidRPr="006E3D43" w:rsidRDefault="3F9FA14E" w:rsidP="006E3D43">
      <w:pPr>
        <w:pStyle w:val="ListParagraph"/>
        <w:numPr>
          <w:ilvl w:val="0"/>
          <w:numId w:val="1"/>
        </w:numPr>
        <w:spacing w:after="0"/>
        <w:ind w:left="540" w:hanging="260"/>
        <w:rPr>
          <w:rFonts w:eastAsia="Times New Roman" w:cs="Times New Roman"/>
        </w:rPr>
      </w:pPr>
      <w:r w:rsidRPr="006E3D43">
        <w:rPr>
          <w:rFonts w:eastAsia="Times New Roman" w:cs="Times New Roman"/>
        </w:rPr>
        <w:t>3-Month Rainfall Index (Drier / Dry / Typical / Wet / Wetter)</w:t>
      </w:r>
    </w:p>
    <w:p w14:paraId="53A36E59" w14:textId="6117538B" w:rsidR="477E6DAB" w:rsidRPr="006E3D43" w:rsidRDefault="3F9FA14E" w:rsidP="006E3D43">
      <w:pPr>
        <w:pStyle w:val="ListParagraph"/>
        <w:numPr>
          <w:ilvl w:val="0"/>
          <w:numId w:val="1"/>
        </w:numPr>
        <w:spacing w:after="0"/>
        <w:ind w:left="540" w:hanging="260"/>
        <w:rPr>
          <w:rFonts w:eastAsia="Times New Roman" w:cs="Times New Roman"/>
        </w:rPr>
      </w:pPr>
      <w:r w:rsidRPr="006E3D43">
        <w:rPr>
          <w:rFonts w:eastAsia="Times New Roman" w:cs="Times New Roman"/>
        </w:rPr>
        <w:lastRenderedPageBreak/>
        <w:t>6-Month Rainfall Index (Drier / Dry / Typical / Wet / Wetter)</w:t>
      </w:r>
    </w:p>
    <w:p w14:paraId="535E8366" w14:textId="47AC9F1B" w:rsidR="477E6DAB" w:rsidRPr="006E3D43" w:rsidRDefault="3F9FA14E" w:rsidP="006E3D43">
      <w:pPr>
        <w:pStyle w:val="ListParagraph"/>
        <w:numPr>
          <w:ilvl w:val="0"/>
          <w:numId w:val="1"/>
        </w:numPr>
        <w:spacing w:after="0"/>
        <w:ind w:left="540" w:hanging="260"/>
        <w:rPr>
          <w:rFonts w:eastAsia="Times New Roman" w:cs="Times New Roman"/>
        </w:rPr>
      </w:pPr>
      <w:r w:rsidRPr="006E3D43">
        <w:rPr>
          <w:rFonts w:eastAsia="Times New Roman" w:cs="Times New Roman"/>
        </w:rPr>
        <w:t>PEAC 4/8-inch Index, displayed as a color-filled rectangle (</w:t>
      </w:r>
      <w:r w:rsidRPr="006E3D43">
        <w:rPr>
          <w:rFonts w:eastAsia="Times New Roman" w:cs="Times New Roman"/>
          <w:b/>
          <w:bCs/>
        </w:rPr>
        <w:t>Red</w:t>
      </w:r>
      <w:r w:rsidRPr="006E3D43">
        <w:rPr>
          <w:rFonts w:eastAsia="Times New Roman" w:cs="Times New Roman"/>
        </w:rPr>
        <w:t xml:space="preserve"> / </w:t>
      </w:r>
      <w:r w:rsidRPr="006E3D43">
        <w:rPr>
          <w:rFonts w:eastAsia="Times New Roman" w:cs="Times New Roman"/>
          <w:b/>
          <w:bCs/>
        </w:rPr>
        <w:t>Yellow</w:t>
      </w:r>
      <w:r w:rsidRPr="006E3D43">
        <w:rPr>
          <w:rFonts w:eastAsia="Times New Roman" w:cs="Times New Roman"/>
        </w:rPr>
        <w:t xml:space="preserve"> / </w:t>
      </w:r>
      <w:r w:rsidRPr="006E3D43">
        <w:rPr>
          <w:rFonts w:eastAsia="Times New Roman" w:cs="Times New Roman"/>
          <w:b/>
          <w:bCs/>
        </w:rPr>
        <w:t>Dark Green</w:t>
      </w:r>
      <w:r w:rsidRPr="006E3D43">
        <w:rPr>
          <w:rFonts w:eastAsia="Times New Roman" w:cs="Times New Roman"/>
        </w:rPr>
        <w:t>) without a text label, providing an immediate visual signal consistent with the color conventions in existing PEAC operational reporting products</w:t>
      </w:r>
    </w:p>
    <w:p w14:paraId="1D1D4B6C" w14:textId="0D61AC87" w:rsidR="477E6DAB" w:rsidRPr="006E3D43" w:rsidRDefault="3F9FA14E" w:rsidP="006E3D43">
      <w:pPr>
        <w:rPr>
          <w:rFonts w:eastAsia="Times New Roman" w:cs="Times New Roman"/>
        </w:rPr>
      </w:pPr>
      <w:r w:rsidRPr="006E3D43">
        <w:rPr>
          <w:rFonts w:eastAsia="Times New Roman" w:cs="Times New Roman"/>
        </w:rPr>
        <w:t xml:space="preserve">The Rainfall Index categories for the 1-, 3-, and 6-month indices are expressed as text labels in the table rather than color fills, to ensure clarity for printed and grayscale reproduction. The PEAC index cell uses a color fill rather than text because PEAC color conventions have been in operational use for several decades and the colors themselves carry recognized meaning for disaster, water security, and food security managers in the Pacific (PEAC, 2015; Senay </w:t>
      </w:r>
      <w:r w:rsidR="62C38C46" w:rsidRPr="68F659C6">
        <w:rPr>
          <w:rFonts w:eastAsia="Times New Roman" w:cs="Times New Roman"/>
        </w:rPr>
        <w:t>et al.</w:t>
      </w:r>
      <w:r w:rsidRPr="006E3D43">
        <w:rPr>
          <w:rFonts w:eastAsia="Times New Roman" w:cs="Times New Roman"/>
        </w:rPr>
        <w:t>, 2023).</w:t>
      </w:r>
    </w:p>
    <w:p w14:paraId="4017C427" w14:textId="6216E52E" w:rsidR="00AF52AE" w:rsidRDefault="0AFCB62C" w:rsidP="00E859BF">
      <w:pPr>
        <w:pStyle w:val="BodyText"/>
        <w:ind w:firstLine="0"/>
      </w:pPr>
      <w:r w:rsidRPr="002B4914">
        <w:rPr>
          <w:rFonts w:ascii="Arial Narrow" w:hAnsi="Arial Narrow"/>
          <w:b/>
          <w:bCs/>
          <w:sz w:val="26"/>
        </w:rPr>
        <w:t>Automated 7-Day Precipitation Forecasting</w:t>
      </w:r>
      <w:r>
        <w:t xml:space="preserve"> </w:t>
      </w:r>
      <w:r w:rsidR="0B3216A2">
        <w:t xml:space="preserve"> </w:t>
      </w:r>
    </w:p>
    <w:p w14:paraId="74072130" w14:textId="42EE03E2" w:rsidR="0A9C71D4" w:rsidRDefault="0B3216A2" w:rsidP="68F659C6">
      <w:pPr>
        <w:pStyle w:val="BodyText"/>
      </w:pPr>
      <w:r>
        <w:t>An automated, end-to-end pipeline was developed in R to generate 7-day precipitation forecasts for nine Pacific island locations using output from the NOAA Global Forecast System (GFS). The pipeline acquires gridded forecast data, aggregates 6-hourly accumulations to daily totals, extracts island-level zonal statistics, produces a suite of visualization and tabular products, and distributes the results to stakeholders via email. The system is designed for unattended daily execution under the Windows Task Scheduler.</w:t>
      </w:r>
    </w:p>
    <w:p w14:paraId="7D4674BC" w14:textId="10015538" w:rsidR="5888FDB0" w:rsidRDefault="5888FDB0" w:rsidP="68F659C6">
      <w:pPr>
        <w:pStyle w:val="BodyText"/>
        <w:ind w:firstLine="0"/>
        <w:rPr>
          <w:rFonts w:ascii="Arial" w:eastAsia="Arial" w:hAnsi="Arial" w:cs="Arial"/>
          <w:b/>
          <w:bCs/>
        </w:rPr>
      </w:pPr>
      <w:r w:rsidRPr="68F659C6">
        <w:rPr>
          <w:rFonts w:ascii="Arial" w:eastAsia="Arial" w:hAnsi="Arial" w:cs="Arial"/>
          <w:b/>
          <w:bCs/>
        </w:rPr>
        <w:t xml:space="preserve">Input Data </w:t>
      </w:r>
    </w:p>
    <w:p w14:paraId="0A6D71E9" w14:textId="41A2350C" w:rsidR="69E59E83" w:rsidRPr="006E3D43" w:rsidRDefault="69E59E83" w:rsidP="006E3D43">
      <w:pPr>
        <w:spacing w:after="140"/>
        <w:rPr>
          <w:rFonts w:eastAsia="Times New Roman" w:cs="Times New Roman"/>
        </w:rPr>
      </w:pPr>
      <w:r w:rsidRPr="006E3D43">
        <w:rPr>
          <w:rFonts w:eastAsia="Times New Roman" w:cs="Times New Roman"/>
          <w:b/>
          <w:bCs/>
        </w:rPr>
        <w:t>GFS forecast data.</w:t>
      </w:r>
      <w:r w:rsidRPr="006E3D43">
        <w:rPr>
          <w:rFonts w:eastAsia="Times New Roman" w:cs="Times New Roman"/>
        </w:rPr>
        <w:t xml:space="preserve"> The GFS is NOAA’s primary global deterministic numerical weather prediction model, producing forecasts four times daily (00Z, 06Z, 12Z, 18Z) on a 0.25° × 0.25° global grid (~25 km at the equator). The model employs the Finite-Volume Cubed-Sphere (FV3) dynamical </w:t>
      </w:r>
      <w:proofErr w:type="gramStart"/>
      <w:r w:rsidRPr="006E3D43">
        <w:rPr>
          <w:rFonts w:eastAsia="Times New Roman" w:cs="Times New Roman"/>
        </w:rPr>
        <w:t>core</w:t>
      </w:r>
      <w:r w:rsidR="04A8FDA0" w:rsidRPr="68F659C6">
        <w:rPr>
          <w:rFonts w:eastAsia="Times New Roman" w:cs="Times New Roman"/>
        </w:rPr>
        <w:t xml:space="preserve"> </w:t>
      </w:r>
      <w:r w:rsidRPr="006E3D43">
        <w:rPr>
          <w:rFonts w:eastAsia="Times New Roman" w:cs="Times New Roman"/>
        </w:rPr>
        <w:t xml:space="preserve"> (</w:t>
      </w:r>
      <w:proofErr w:type="gramEnd"/>
      <w:r w:rsidRPr="006E3D43">
        <w:rPr>
          <w:rFonts w:eastAsia="Times New Roman" w:cs="Times New Roman"/>
        </w:rPr>
        <w:t>Harris et al., 2020) with scale-aware simplified Arakawa–Schubert deep convection (Han et al., 2017). Output is distributed in GRIB2 format. The pipeline uses the 6-</w:t>
      </w:r>
      <w:r w:rsidRPr="006E3D43">
        <w:rPr>
          <w:rFonts w:eastAsia="Times New Roman" w:cs="Times New Roman"/>
        </w:rPr>
        <w:lastRenderedPageBreak/>
        <w:t>hour accumulated total precipitation variable at forecast hours 6 through 168 (28 files per model run), accessed from the NOAA GFS archive on Amazon Web Services S3 (primary) with the NCEP NOMADS server as a fallback source.</w:t>
      </w:r>
    </w:p>
    <w:p w14:paraId="22B6582F" w14:textId="46BE441D" w:rsidR="69E59E83" w:rsidRPr="006E3D43" w:rsidRDefault="69E59E83" w:rsidP="006E3D43">
      <w:pPr>
        <w:spacing w:after="140"/>
        <w:rPr>
          <w:rFonts w:eastAsia="Times New Roman" w:cs="Times New Roman"/>
        </w:rPr>
      </w:pPr>
      <w:r w:rsidRPr="006E3D43">
        <w:rPr>
          <w:rFonts w:eastAsia="Times New Roman" w:cs="Times New Roman"/>
          <w:b/>
          <w:bCs/>
        </w:rPr>
        <w:t>Spatial reference data.</w:t>
      </w:r>
      <w:r w:rsidRPr="006E3D43">
        <w:rPr>
          <w:rFonts w:eastAsia="Times New Roman" w:cs="Times New Roman"/>
        </w:rPr>
        <w:t xml:space="preserve"> Island boundaries are defined by a custom polygon shapefile in the WGS 84 geographic coordinate system (EPSG:4326). The shapefile contains dissolved features for each target location, used as zones for spatial averaging and as boundary overlays on map products.</w:t>
      </w:r>
    </w:p>
    <w:p w14:paraId="72F2C3ED" w14:textId="1FF9D96F" w:rsidR="69E59E83" w:rsidRDefault="69E59E83" w:rsidP="006E3D43">
      <w:pPr>
        <w:spacing w:after="140"/>
        <w:rPr>
          <w:rFonts w:eastAsia="Times New Roman" w:cs="Times New Roman"/>
        </w:rPr>
      </w:pPr>
      <w:r w:rsidRPr="006E3D43">
        <w:rPr>
          <w:rFonts w:eastAsia="Times New Roman" w:cs="Times New Roman"/>
          <w:b/>
          <w:bCs/>
        </w:rPr>
        <w:t>Target locations.</w:t>
      </w:r>
      <w:r w:rsidRPr="006E3D43">
        <w:rPr>
          <w:rFonts w:eastAsia="Times New Roman" w:cs="Times New Roman"/>
        </w:rPr>
        <w:t xml:space="preserve"> Nine locations across four Pacific nations are monitored: Majuro (Marshall Islands); Pohnpei, Kosrae, Weno, and Yap (Federated States of Micronesia); Noro, Munda, and the Noro–Munda Basin (Solomon Islands); and Nauru. </w:t>
      </w:r>
    </w:p>
    <w:p w14:paraId="2C564610" w14:textId="3756A162" w:rsidR="3C936A44" w:rsidRDefault="3C936A44" w:rsidP="68F659C6">
      <w:pPr>
        <w:pStyle w:val="BodyText"/>
        <w:ind w:firstLine="0"/>
        <w:rPr>
          <w:rFonts w:ascii="Arial" w:eastAsia="Arial" w:hAnsi="Arial" w:cs="Arial"/>
          <w:b/>
          <w:bCs/>
        </w:rPr>
      </w:pPr>
      <w:r w:rsidRPr="68F659C6">
        <w:rPr>
          <w:rFonts w:ascii="Arial" w:eastAsia="Arial" w:hAnsi="Arial" w:cs="Arial"/>
          <w:b/>
          <w:bCs/>
        </w:rPr>
        <w:t>Processing Workflow</w:t>
      </w:r>
    </w:p>
    <w:p w14:paraId="41931C8D" w14:textId="34A59F2A" w:rsidR="4BCAF335" w:rsidRDefault="4BCAF335" w:rsidP="006E3D43">
      <w:pPr>
        <w:ind w:firstLine="720"/>
        <w:rPr>
          <w:rFonts w:eastAsia="Times New Roman" w:cs="Times New Roman"/>
        </w:rPr>
      </w:pPr>
      <w:r w:rsidRPr="68F659C6">
        <w:rPr>
          <w:rFonts w:eastAsia="Times New Roman" w:cs="Times New Roman"/>
        </w:rPr>
        <w:t>The automated processing pipeline implements a multi-stage workflow executing data acquisition, spatial processing, statistical analysis, visualization generation, and product distribution</w:t>
      </w:r>
      <w:r w:rsidR="00490460">
        <w:rPr>
          <w:rFonts w:eastAsia="Times New Roman" w:cs="Times New Roman"/>
        </w:rPr>
        <w:t xml:space="preserve"> (</w:t>
      </w:r>
      <w:r w:rsidR="00490460">
        <w:rPr>
          <w:rFonts w:eastAsia="Times New Roman" w:cs="Times New Roman"/>
        </w:rPr>
        <w:fldChar w:fldCharType="begin"/>
      </w:r>
      <w:r w:rsidR="00490460">
        <w:rPr>
          <w:rFonts w:eastAsia="Times New Roman" w:cs="Times New Roman"/>
        </w:rPr>
        <w:instrText xml:space="preserve"> REF _Ref227325348 \h </w:instrText>
      </w:r>
      <w:r w:rsidR="00490460">
        <w:rPr>
          <w:rFonts w:eastAsia="Times New Roman" w:cs="Times New Roman"/>
        </w:rPr>
      </w:r>
      <w:r w:rsidR="00490460">
        <w:rPr>
          <w:rFonts w:eastAsia="Times New Roman" w:cs="Times New Roman"/>
        </w:rPr>
        <w:fldChar w:fldCharType="separate"/>
      </w:r>
      <w:r w:rsidR="00490460">
        <w:t xml:space="preserve">Table </w:t>
      </w:r>
      <w:r w:rsidR="00490460">
        <w:rPr>
          <w:noProof/>
        </w:rPr>
        <w:t>2</w:t>
      </w:r>
      <w:r w:rsidR="00490460">
        <w:rPr>
          <w:rFonts w:eastAsia="Times New Roman" w:cs="Times New Roman"/>
        </w:rPr>
        <w:fldChar w:fldCharType="end"/>
      </w:r>
      <w:r w:rsidR="00490460">
        <w:rPr>
          <w:rFonts w:eastAsia="Times New Roman" w:cs="Times New Roman"/>
        </w:rPr>
        <w:t>)</w:t>
      </w:r>
      <w:r w:rsidRPr="68F659C6">
        <w:rPr>
          <w:rFonts w:eastAsia="Times New Roman" w:cs="Times New Roman"/>
        </w:rPr>
        <w:t>. The workflow proceeds as follows:</w:t>
      </w:r>
    </w:p>
    <w:p w14:paraId="7801DB55" w14:textId="3F1D0E50" w:rsidR="4BCAF335" w:rsidRDefault="4BCAF335" w:rsidP="006E3D43">
      <w:pPr>
        <w:pStyle w:val="ListParagraph"/>
        <w:numPr>
          <w:ilvl w:val="0"/>
          <w:numId w:val="3"/>
        </w:numPr>
        <w:spacing w:after="0"/>
        <w:rPr>
          <w:rFonts w:eastAsia="Times New Roman" w:cs="Times New Roman"/>
        </w:rPr>
      </w:pPr>
      <w:r w:rsidRPr="68F659C6">
        <w:rPr>
          <w:rFonts w:eastAsia="Times New Roman" w:cs="Times New Roman"/>
          <w:b/>
          <w:bCs/>
        </w:rPr>
        <w:t xml:space="preserve">Forecast Run Selection: </w:t>
      </w:r>
      <w:r w:rsidRPr="68F659C6">
        <w:rPr>
          <w:rFonts w:eastAsia="Times New Roman" w:cs="Times New Roman"/>
        </w:rPr>
        <w:t>The</w:t>
      </w:r>
      <w:r w:rsidR="2F7D1A13" w:rsidRPr="68F659C6">
        <w:rPr>
          <w:rFonts w:eastAsia="Times New Roman" w:cs="Times New Roman"/>
        </w:rPr>
        <w:t xml:space="preserve"> system queries the NOMADS directory listing to identify available GFS model runs from the most recent three days. For each date, all four initialization cycles are tested in reverse order (18Z, 12Z, 06Z, 00Z). The most recent run containing all 28 required forecast files (hours 006–168 at 6-hour intervals) is selected. If no complete run is available, the partial run with the greatest number of available files is used and a warning is logged.</w:t>
      </w:r>
    </w:p>
    <w:p w14:paraId="750752D5" w14:textId="2729585E" w:rsidR="4BCAF335" w:rsidRDefault="4BCAF335" w:rsidP="006E3D43">
      <w:pPr>
        <w:pStyle w:val="ListParagraph"/>
        <w:numPr>
          <w:ilvl w:val="0"/>
          <w:numId w:val="3"/>
        </w:numPr>
        <w:spacing w:after="0"/>
        <w:rPr>
          <w:rFonts w:eastAsia="Times New Roman" w:cs="Times New Roman"/>
          <w:b/>
          <w:bCs/>
        </w:rPr>
      </w:pPr>
      <w:r w:rsidRPr="68F659C6">
        <w:rPr>
          <w:rFonts w:eastAsia="Times New Roman" w:cs="Times New Roman"/>
          <w:b/>
          <w:bCs/>
        </w:rPr>
        <w:t xml:space="preserve">Data Acquisition: </w:t>
      </w:r>
      <w:r w:rsidR="119885F2" w:rsidRPr="006E3D43">
        <w:rPr>
          <w:rFonts w:eastAsia="Times New Roman" w:cs="Times New Roman"/>
        </w:rPr>
        <w:t xml:space="preserve">Individual GRIB2 files are downloaded via HTTP GET requests using the </w:t>
      </w:r>
      <w:proofErr w:type="spellStart"/>
      <w:r w:rsidR="119885F2" w:rsidRPr="006E3D43">
        <w:rPr>
          <w:rFonts w:eastAsia="Times New Roman" w:cs="Times New Roman"/>
        </w:rPr>
        <w:t>httr</w:t>
      </w:r>
      <w:proofErr w:type="spellEnd"/>
      <w:r w:rsidR="119885F2" w:rsidRPr="006E3D43">
        <w:rPr>
          <w:rFonts w:eastAsia="Times New Roman" w:cs="Times New Roman"/>
        </w:rPr>
        <w:t xml:space="preserve"> package, with automatic retry logic (up to 5 attempts per file) and a 600-second </w:t>
      </w:r>
      <w:r w:rsidR="119885F2" w:rsidRPr="006E3D43">
        <w:rPr>
          <w:rFonts w:eastAsia="Times New Roman" w:cs="Times New Roman"/>
        </w:rPr>
        <w:lastRenderedPageBreak/>
        <w:t>timeout. AWS S3 is attempted first; if the download fails or returns a non-200 status, the NOMADS URL is tried. Files are cached in a temporary directory, and previously downloaded files with valid size (&gt;1 MB) are reused to avoid redundant transfers.</w:t>
      </w:r>
    </w:p>
    <w:p w14:paraId="7DC6C7DC" w14:textId="03230B00" w:rsidR="4BCAF335" w:rsidRDefault="4BCAF335" w:rsidP="006E3D43">
      <w:pPr>
        <w:pStyle w:val="ListParagraph"/>
        <w:numPr>
          <w:ilvl w:val="0"/>
          <w:numId w:val="3"/>
        </w:numPr>
        <w:spacing w:after="0"/>
        <w:rPr>
          <w:rFonts w:eastAsia="Times New Roman" w:cs="Times New Roman"/>
        </w:rPr>
      </w:pPr>
      <w:r w:rsidRPr="68F659C6">
        <w:rPr>
          <w:rFonts w:eastAsia="Times New Roman" w:cs="Times New Roman"/>
          <w:b/>
          <w:bCs/>
        </w:rPr>
        <w:t xml:space="preserve">Temporal Aggregation: </w:t>
      </w:r>
      <w:r w:rsidRPr="68F659C6">
        <w:rPr>
          <w:rFonts w:eastAsia="Times New Roman" w:cs="Times New Roman"/>
        </w:rPr>
        <w:t>The 6-hourly precipitation accumulations are summed into daily totals by grouping four consecutive 6-hour forecast steps per day, producing up to 7 daily precipitation raster layers.</w:t>
      </w:r>
    </w:p>
    <w:p w14:paraId="64961AB4" w14:textId="6B9FD52F" w:rsidR="4BCAF335" w:rsidRDefault="4BCAF335" w:rsidP="006E3D43">
      <w:pPr>
        <w:pStyle w:val="ListParagraph"/>
        <w:numPr>
          <w:ilvl w:val="0"/>
          <w:numId w:val="3"/>
        </w:numPr>
        <w:spacing w:after="0"/>
        <w:rPr>
          <w:rFonts w:eastAsia="Times New Roman" w:cs="Times New Roman"/>
        </w:rPr>
      </w:pPr>
      <w:r w:rsidRPr="68F659C6">
        <w:rPr>
          <w:rFonts w:eastAsia="Times New Roman" w:cs="Times New Roman"/>
          <w:b/>
          <w:bCs/>
        </w:rPr>
        <w:t xml:space="preserve">Zonal Extraction: </w:t>
      </w:r>
      <w:r w:rsidRPr="68F659C6">
        <w:rPr>
          <w:rFonts w:eastAsia="Times New Roman" w:cs="Times New Roman"/>
        </w:rPr>
        <w:t xml:space="preserve">Mean areal precipitation for each target island is computed using </w:t>
      </w:r>
      <w:proofErr w:type="gramStart"/>
      <w:r w:rsidRPr="68F659C6">
        <w:rPr>
          <w:rFonts w:eastAsia="Times New Roman" w:cs="Times New Roman"/>
        </w:rPr>
        <w:t>terra::extract(</w:t>
      </w:r>
      <w:proofErr w:type="gramEnd"/>
      <w:r w:rsidRPr="68F659C6">
        <w:rPr>
          <w:rFonts w:eastAsia="Times New Roman" w:cs="Times New Roman"/>
        </w:rPr>
        <w:t>) with the dissolved shapefile polygons as extraction zones.</w:t>
      </w:r>
    </w:p>
    <w:p w14:paraId="7A1F1C1F" w14:textId="27A93F42" w:rsidR="4BCAF335" w:rsidRDefault="4BCAF335" w:rsidP="006E3D43">
      <w:pPr>
        <w:pStyle w:val="ListParagraph"/>
        <w:numPr>
          <w:ilvl w:val="0"/>
          <w:numId w:val="3"/>
        </w:numPr>
        <w:spacing w:after="0"/>
        <w:rPr>
          <w:rFonts w:eastAsia="Times New Roman" w:cs="Times New Roman"/>
        </w:rPr>
      </w:pPr>
      <w:r w:rsidRPr="68F659C6">
        <w:rPr>
          <w:rFonts w:eastAsia="Times New Roman" w:cs="Times New Roman"/>
          <w:b/>
          <w:bCs/>
        </w:rPr>
        <w:t xml:space="preserve">Tabular and Statistical Output: </w:t>
      </w:r>
      <w:r w:rsidR="626A4B47" w:rsidRPr="68F659C6">
        <w:rPr>
          <w:rFonts w:eastAsia="Times New Roman" w:cs="Times New Roman"/>
        </w:rPr>
        <w:t xml:space="preserve">Two CSV files are produced: (a) a wide-format summary table with islands as rows and forecast dates as columns, including a total precipitation column; and (b) a long-format table with one row per island per day, designed for statistical analysis. An HTML table is also generated with conditional cell formatting: daily precipitation values ≥50 mm and weekly totals ≥200 mm </w:t>
      </w:r>
      <w:proofErr w:type="gramStart"/>
      <w:r w:rsidR="626A4B47" w:rsidRPr="68F659C6">
        <w:rPr>
          <w:rFonts w:eastAsia="Times New Roman" w:cs="Times New Roman"/>
        </w:rPr>
        <w:t>are</w:t>
      </w:r>
      <w:proofErr w:type="gramEnd"/>
      <w:r w:rsidR="626A4B47" w:rsidRPr="68F659C6">
        <w:rPr>
          <w:rFonts w:eastAsia="Times New Roman" w:cs="Times New Roman"/>
        </w:rPr>
        <w:t xml:space="preserve"> highlighted with red background, serving as visual alerts for hazardous precipitation levels.</w:t>
      </w:r>
    </w:p>
    <w:p w14:paraId="2C8FF868" w14:textId="6B3B005E" w:rsidR="4BCAF335" w:rsidRDefault="4BCAF335" w:rsidP="006E3D43">
      <w:pPr>
        <w:pStyle w:val="ListParagraph"/>
        <w:numPr>
          <w:ilvl w:val="0"/>
          <w:numId w:val="3"/>
        </w:numPr>
        <w:spacing w:after="0"/>
        <w:rPr>
          <w:rFonts w:eastAsia="Times New Roman" w:cs="Times New Roman"/>
        </w:rPr>
      </w:pPr>
      <w:r w:rsidRPr="68F659C6">
        <w:rPr>
          <w:rFonts w:eastAsia="Times New Roman" w:cs="Times New Roman"/>
          <w:b/>
          <w:bCs/>
        </w:rPr>
        <w:t xml:space="preserve">Visualization Generation: </w:t>
      </w:r>
      <w:r w:rsidR="0FDB0F9A" w:rsidRPr="68F659C6">
        <w:rPr>
          <w:rFonts w:eastAsia="Times New Roman" w:cs="Times New Roman"/>
        </w:rPr>
        <w:t xml:space="preserve">Graphical products include a combined grouped bar chart (all islands) and individual island bar charts with country-contextualized titles. Regional precipitation maps are generated using the </w:t>
      </w:r>
      <w:proofErr w:type="spellStart"/>
      <w:r w:rsidR="0FDB0F9A" w:rsidRPr="68F659C6">
        <w:rPr>
          <w:rFonts w:eastAsia="Times New Roman" w:cs="Times New Roman"/>
        </w:rPr>
        <w:t>rasterVis</w:t>
      </w:r>
      <w:proofErr w:type="spellEnd"/>
      <w:r w:rsidR="0FDB0F9A" w:rsidRPr="68F659C6">
        <w:rPr>
          <w:rFonts w:eastAsia="Times New Roman" w:cs="Times New Roman"/>
        </w:rPr>
        <w:t xml:space="preserve"> </w:t>
      </w:r>
      <w:proofErr w:type="spellStart"/>
      <w:r w:rsidR="0FDB0F9A" w:rsidRPr="68F659C6">
        <w:rPr>
          <w:rFonts w:eastAsia="Times New Roman" w:cs="Times New Roman"/>
        </w:rPr>
        <w:t>levelplot</w:t>
      </w:r>
      <w:proofErr w:type="spellEnd"/>
      <w:r w:rsidR="0FDB0F9A" w:rsidRPr="68F659C6">
        <w:rPr>
          <w:rFonts w:eastAsia="Times New Roman" w:cs="Times New Roman"/>
        </w:rPr>
        <w:t xml:space="preserve"> function, cropped to the island bounding box plus a 0.75° buffer, with island boundary polygons overlaid. Individual island maps use a 0.25° buffer. Both regional and island-level daily map sequences are compiled into animated GIF files at 1 frame per second using the </w:t>
      </w:r>
      <w:proofErr w:type="spellStart"/>
      <w:r w:rsidR="0FDB0F9A" w:rsidRPr="68F659C6">
        <w:rPr>
          <w:rFonts w:eastAsia="Times New Roman" w:cs="Times New Roman"/>
        </w:rPr>
        <w:t>magick</w:t>
      </w:r>
      <w:proofErr w:type="spellEnd"/>
      <w:r w:rsidR="0FDB0F9A" w:rsidRPr="68F659C6">
        <w:rPr>
          <w:rFonts w:eastAsia="Times New Roman" w:cs="Times New Roman"/>
        </w:rPr>
        <w:t xml:space="preserve"> package.</w:t>
      </w:r>
    </w:p>
    <w:p w14:paraId="14742DB6" w14:textId="70FC5598" w:rsidR="4BCAF335" w:rsidRDefault="4BCAF335" w:rsidP="0070380C">
      <w:pPr>
        <w:pStyle w:val="ListParagraph"/>
        <w:numPr>
          <w:ilvl w:val="0"/>
          <w:numId w:val="3"/>
        </w:numPr>
        <w:spacing w:after="0"/>
        <w:rPr>
          <w:rFonts w:eastAsia="Times New Roman" w:cs="Times New Roman"/>
        </w:rPr>
      </w:pPr>
      <w:r w:rsidRPr="68F659C6">
        <w:rPr>
          <w:rFonts w:eastAsia="Times New Roman" w:cs="Times New Roman"/>
          <w:b/>
          <w:bCs/>
        </w:rPr>
        <w:lastRenderedPageBreak/>
        <w:t xml:space="preserve">Archiving and Distribution: </w:t>
      </w:r>
      <w:r w:rsidR="099967B6" w:rsidRPr="68F659C6">
        <w:rPr>
          <w:rFonts w:eastAsia="Times New Roman" w:cs="Times New Roman"/>
        </w:rPr>
        <w:t>All output files (CSVs, PNGs, GIFs, README, log) are packaged into a ZIP archive. An HTML email is composed using the blastula package, embedding the combined bar chart, regional animation, and the alert-highlighted summary table directly in the email body. The ZIP archive and summary CSV are included as attachments. The email is sent via SMTP with authentication credentials stored as environment variables.</w:t>
      </w:r>
    </w:p>
    <w:p w14:paraId="157372BF" w14:textId="77777777" w:rsidR="00C53338" w:rsidRPr="006E3D43" w:rsidRDefault="00C53338" w:rsidP="006E3D43">
      <w:pPr>
        <w:spacing w:after="0"/>
        <w:rPr>
          <w:rFonts w:eastAsia="Times New Roman" w:cs="Times New Roman"/>
        </w:rPr>
      </w:pPr>
    </w:p>
    <w:p w14:paraId="35D11F5C" w14:textId="532C4D74" w:rsidR="21F1FAD9" w:rsidRDefault="21F1FAD9" w:rsidP="006E3D43">
      <w:pPr>
        <w:pStyle w:val="Caption"/>
        <w:rPr>
          <w:rFonts w:ascii="Univers 57 Condensed" w:hAnsi="Univers 57 Condensed"/>
          <w:b/>
          <w:bCs/>
          <w:sz w:val="22"/>
          <w:szCs w:val="22"/>
        </w:rPr>
      </w:pPr>
    </w:p>
    <w:p w14:paraId="3B879E39" w14:textId="77BA0B32" w:rsidR="0056065C" w:rsidRPr="0056065C" w:rsidRDefault="0056065C" w:rsidP="0056065C">
      <w:pPr>
        <w:pStyle w:val="Caption"/>
        <w:keepNext/>
        <w:rPr>
          <w:rFonts w:ascii="Arial Narrow" w:hAnsi="Arial Narrow"/>
          <w:szCs w:val="24"/>
        </w:rPr>
      </w:pPr>
      <w:bookmarkStart w:id="54" w:name="_Toc228290769"/>
      <w:r w:rsidRPr="0056065C">
        <w:rPr>
          <w:rFonts w:ascii="Arial Narrow" w:hAnsi="Arial Narrow"/>
          <w:szCs w:val="24"/>
        </w:rPr>
        <w:t xml:space="preserve">Table </w:t>
      </w:r>
      <w:r w:rsidRPr="0056065C">
        <w:rPr>
          <w:rFonts w:ascii="Arial Narrow" w:hAnsi="Arial Narrow"/>
          <w:szCs w:val="24"/>
        </w:rPr>
        <w:fldChar w:fldCharType="begin"/>
      </w:r>
      <w:r w:rsidRPr="0056065C">
        <w:rPr>
          <w:rFonts w:ascii="Arial Narrow" w:hAnsi="Arial Narrow"/>
          <w:szCs w:val="24"/>
        </w:rPr>
        <w:instrText xml:space="preserve"> SEQ Table \* ARABIC </w:instrText>
      </w:r>
      <w:r w:rsidRPr="0056065C">
        <w:rPr>
          <w:rFonts w:ascii="Arial Narrow" w:hAnsi="Arial Narrow"/>
          <w:szCs w:val="24"/>
        </w:rPr>
        <w:fldChar w:fldCharType="separate"/>
      </w:r>
      <w:r w:rsidRPr="0056065C">
        <w:rPr>
          <w:rFonts w:ascii="Arial Narrow" w:hAnsi="Arial Narrow"/>
          <w:noProof/>
          <w:szCs w:val="24"/>
        </w:rPr>
        <w:t>2</w:t>
      </w:r>
      <w:r w:rsidRPr="0056065C">
        <w:rPr>
          <w:rFonts w:ascii="Arial Narrow" w:hAnsi="Arial Narrow"/>
          <w:szCs w:val="24"/>
        </w:rPr>
        <w:fldChar w:fldCharType="end"/>
      </w:r>
      <w:r w:rsidRPr="0056065C">
        <w:rPr>
          <w:rFonts w:ascii="Arial Narrow" w:hAnsi="Arial Narrow"/>
          <w:szCs w:val="24"/>
        </w:rPr>
        <w:t>. Key Processing Parameters</w:t>
      </w:r>
      <w:bookmarkEnd w:id="54"/>
    </w:p>
    <w:tbl>
      <w:tblPr>
        <w:tblStyle w:val="PlainTable1"/>
        <w:tblW w:w="0" w:type="auto"/>
        <w:tblLook w:val="06A0" w:firstRow="1" w:lastRow="0" w:firstColumn="1" w:lastColumn="0" w:noHBand="1" w:noVBand="1"/>
      </w:tblPr>
      <w:tblGrid>
        <w:gridCol w:w="3256"/>
        <w:gridCol w:w="5940"/>
      </w:tblGrid>
      <w:tr w:rsidR="68F659C6" w:rsidRPr="0056065C" w14:paraId="30440CB7" w14:textId="77777777" w:rsidTr="0056065C">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256" w:type="dxa"/>
          </w:tcPr>
          <w:p w14:paraId="56BF865B" w14:textId="43F5E7D6" w:rsidR="68F659C6" w:rsidRPr="0056065C" w:rsidRDefault="68F659C6" w:rsidP="0056065C">
            <w:pPr>
              <w:spacing w:line="480" w:lineRule="auto"/>
              <w:rPr>
                <w:rFonts w:ascii="Arial Narrow" w:eastAsia="Times New Roman" w:hAnsi="Arial Narrow" w:cs="Times New Roman"/>
                <w:b w:val="0"/>
                <w:bCs w:val="0"/>
                <w:color w:val="FFFFFF" w:themeColor="background1"/>
              </w:rPr>
            </w:pPr>
            <w:r w:rsidRPr="0056065C">
              <w:rPr>
                <w:rFonts w:ascii="Arial Narrow" w:eastAsia="Times New Roman" w:hAnsi="Arial Narrow" w:cs="Times New Roman"/>
                <w:b w:val="0"/>
                <w:bCs w:val="0"/>
                <w:color w:val="FFFFFF" w:themeColor="background1"/>
              </w:rPr>
              <w:t>Parameter</w:t>
            </w:r>
          </w:p>
        </w:tc>
        <w:tc>
          <w:tcPr>
            <w:tcW w:w="5940" w:type="dxa"/>
          </w:tcPr>
          <w:p w14:paraId="2E2E1F2A" w14:textId="1EF6AE90" w:rsidR="68F659C6" w:rsidRPr="0056065C" w:rsidRDefault="68F659C6" w:rsidP="0056065C">
            <w:pPr>
              <w:spacing w:line="480" w:lineRule="auto"/>
              <w:cnfStyle w:val="100000000000" w:firstRow="1" w:lastRow="0" w:firstColumn="0" w:lastColumn="0" w:oddVBand="0" w:evenVBand="0" w:oddHBand="0" w:evenHBand="0" w:firstRowFirstColumn="0" w:firstRowLastColumn="0" w:lastRowFirstColumn="0" w:lastRowLastColumn="0"/>
              <w:rPr>
                <w:rFonts w:ascii="Arial Narrow" w:eastAsia="Times New Roman" w:hAnsi="Arial Narrow" w:cs="Times New Roman"/>
                <w:b w:val="0"/>
                <w:bCs w:val="0"/>
                <w:color w:val="FFFFFF" w:themeColor="background1"/>
              </w:rPr>
            </w:pPr>
            <w:r w:rsidRPr="0056065C">
              <w:rPr>
                <w:rFonts w:ascii="Arial Narrow" w:eastAsia="Times New Roman" w:hAnsi="Arial Narrow" w:cs="Times New Roman"/>
                <w:b w:val="0"/>
                <w:bCs w:val="0"/>
                <w:color w:val="FFFFFF" w:themeColor="background1"/>
              </w:rPr>
              <w:t>Value</w:t>
            </w:r>
          </w:p>
        </w:tc>
      </w:tr>
      <w:tr w:rsidR="68F659C6" w:rsidRPr="0056065C" w14:paraId="5CCCEF00" w14:textId="77777777" w:rsidTr="0056065C">
        <w:trPr>
          <w:trHeight w:val="300"/>
        </w:trPr>
        <w:tc>
          <w:tcPr>
            <w:cnfStyle w:val="001000000000" w:firstRow="0" w:lastRow="0" w:firstColumn="1" w:lastColumn="0" w:oddVBand="0" w:evenVBand="0" w:oddHBand="0" w:evenHBand="0" w:firstRowFirstColumn="0" w:firstRowLastColumn="0" w:lastRowFirstColumn="0" w:lastRowLastColumn="0"/>
            <w:tcW w:w="3256" w:type="dxa"/>
          </w:tcPr>
          <w:p w14:paraId="0B61C187" w14:textId="23203E1A" w:rsidR="68F659C6" w:rsidRPr="0056065C" w:rsidRDefault="68F659C6" w:rsidP="0056065C">
            <w:pPr>
              <w:spacing w:line="480" w:lineRule="auto"/>
              <w:rPr>
                <w:rFonts w:ascii="Arial Narrow" w:eastAsia="Times New Roman" w:hAnsi="Arial Narrow" w:cs="Times New Roman"/>
              </w:rPr>
            </w:pPr>
            <w:r w:rsidRPr="0056065C">
              <w:rPr>
                <w:rFonts w:ascii="Arial Narrow" w:eastAsia="Times New Roman" w:hAnsi="Arial Narrow" w:cs="Times New Roman"/>
              </w:rPr>
              <w:t>GFS spatial resolution</w:t>
            </w:r>
          </w:p>
        </w:tc>
        <w:tc>
          <w:tcPr>
            <w:tcW w:w="5940" w:type="dxa"/>
          </w:tcPr>
          <w:p w14:paraId="133F0CCA" w14:textId="11657A5B" w:rsidR="68F659C6" w:rsidRPr="0056065C" w:rsidRDefault="68F659C6" w:rsidP="0056065C">
            <w:pPr>
              <w:spacing w:line="480" w:lineRule="auto"/>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rPr>
            </w:pPr>
            <w:r w:rsidRPr="0056065C">
              <w:rPr>
                <w:rFonts w:ascii="Arial Narrow" w:eastAsia="Times New Roman" w:hAnsi="Arial Narrow" w:cs="Times New Roman"/>
              </w:rPr>
              <w:t>0.25° (~25 km)</w:t>
            </w:r>
          </w:p>
        </w:tc>
      </w:tr>
      <w:tr w:rsidR="68F659C6" w:rsidRPr="0056065C" w14:paraId="5BA3859E" w14:textId="77777777" w:rsidTr="0056065C">
        <w:trPr>
          <w:trHeight w:val="300"/>
        </w:trPr>
        <w:tc>
          <w:tcPr>
            <w:cnfStyle w:val="001000000000" w:firstRow="0" w:lastRow="0" w:firstColumn="1" w:lastColumn="0" w:oddVBand="0" w:evenVBand="0" w:oddHBand="0" w:evenHBand="0" w:firstRowFirstColumn="0" w:firstRowLastColumn="0" w:lastRowFirstColumn="0" w:lastRowLastColumn="0"/>
            <w:tcW w:w="3256" w:type="dxa"/>
          </w:tcPr>
          <w:p w14:paraId="2548541D" w14:textId="0AD81B88" w:rsidR="68F659C6" w:rsidRPr="0056065C" w:rsidRDefault="68F659C6" w:rsidP="0056065C">
            <w:pPr>
              <w:spacing w:line="480" w:lineRule="auto"/>
              <w:rPr>
                <w:rFonts w:ascii="Arial Narrow" w:eastAsia="Times New Roman" w:hAnsi="Arial Narrow" w:cs="Times New Roman"/>
                <w:color w:val="000000" w:themeColor="text1"/>
              </w:rPr>
            </w:pPr>
            <w:r w:rsidRPr="0056065C">
              <w:rPr>
                <w:rFonts w:ascii="Arial Narrow" w:eastAsia="Times New Roman" w:hAnsi="Arial Narrow" w:cs="Times New Roman"/>
                <w:color w:val="000000" w:themeColor="text1"/>
              </w:rPr>
              <w:t>Forecast hours acquired</w:t>
            </w:r>
          </w:p>
        </w:tc>
        <w:tc>
          <w:tcPr>
            <w:tcW w:w="5940" w:type="dxa"/>
          </w:tcPr>
          <w:p w14:paraId="66CE893C" w14:textId="3FFECF34" w:rsidR="68F659C6" w:rsidRPr="0056065C" w:rsidRDefault="68F659C6" w:rsidP="0056065C">
            <w:pPr>
              <w:spacing w:line="480" w:lineRule="auto"/>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000000" w:themeColor="text1"/>
              </w:rPr>
            </w:pPr>
            <w:r w:rsidRPr="0056065C">
              <w:rPr>
                <w:rFonts w:ascii="Arial Narrow" w:eastAsia="Times New Roman" w:hAnsi="Arial Narrow" w:cs="Times New Roman"/>
                <w:color w:val="000000" w:themeColor="text1"/>
              </w:rPr>
              <w:t>6 through 168, at 6-hour intervals (28 files)</w:t>
            </w:r>
          </w:p>
        </w:tc>
      </w:tr>
      <w:tr w:rsidR="68F659C6" w:rsidRPr="0056065C" w14:paraId="458962D1" w14:textId="77777777" w:rsidTr="0056065C">
        <w:trPr>
          <w:trHeight w:val="300"/>
        </w:trPr>
        <w:tc>
          <w:tcPr>
            <w:cnfStyle w:val="001000000000" w:firstRow="0" w:lastRow="0" w:firstColumn="1" w:lastColumn="0" w:oddVBand="0" w:evenVBand="0" w:oddHBand="0" w:evenHBand="0" w:firstRowFirstColumn="0" w:firstRowLastColumn="0" w:lastRowFirstColumn="0" w:lastRowLastColumn="0"/>
            <w:tcW w:w="3256" w:type="dxa"/>
          </w:tcPr>
          <w:p w14:paraId="65730EC0" w14:textId="7C5B5606" w:rsidR="68F659C6" w:rsidRPr="0056065C" w:rsidRDefault="68F659C6" w:rsidP="0056065C">
            <w:pPr>
              <w:spacing w:line="480" w:lineRule="auto"/>
              <w:rPr>
                <w:rFonts w:ascii="Arial Narrow" w:eastAsia="Times New Roman" w:hAnsi="Arial Narrow" w:cs="Times New Roman"/>
              </w:rPr>
            </w:pPr>
            <w:r w:rsidRPr="0056065C">
              <w:rPr>
                <w:rFonts w:ascii="Arial Narrow" w:eastAsia="Times New Roman" w:hAnsi="Arial Narrow" w:cs="Times New Roman"/>
              </w:rPr>
              <w:t>Daily aggregation</w:t>
            </w:r>
          </w:p>
        </w:tc>
        <w:tc>
          <w:tcPr>
            <w:tcW w:w="5940" w:type="dxa"/>
          </w:tcPr>
          <w:p w14:paraId="502F9F19" w14:textId="61548B40" w:rsidR="68F659C6" w:rsidRPr="0056065C" w:rsidRDefault="68F659C6" w:rsidP="0056065C">
            <w:pPr>
              <w:spacing w:line="480" w:lineRule="auto"/>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rPr>
            </w:pPr>
            <w:r w:rsidRPr="0056065C">
              <w:rPr>
                <w:rFonts w:ascii="Arial Narrow" w:eastAsia="Times New Roman" w:hAnsi="Arial Narrow" w:cs="Times New Roman"/>
              </w:rPr>
              <w:t>Sum of four consecutive 6-hour accumulation layers</w:t>
            </w:r>
          </w:p>
        </w:tc>
      </w:tr>
      <w:tr w:rsidR="68F659C6" w:rsidRPr="0056065C" w14:paraId="6C9D6CF8" w14:textId="77777777" w:rsidTr="0056065C">
        <w:trPr>
          <w:trHeight w:val="300"/>
        </w:trPr>
        <w:tc>
          <w:tcPr>
            <w:cnfStyle w:val="001000000000" w:firstRow="0" w:lastRow="0" w:firstColumn="1" w:lastColumn="0" w:oddVBand="0" w:evenVBand="0" w:oddHBand="0" w:evenHBand="0" w:firstRowFirstColumn="0" w:firstRowLastColumn="0" w:lastRowFirstColumn="0" w:lastRowLastColumn="0"/>
            <w:tcW w:w="3256" w:type="dxa"/>
          </w:tcPr>
          <w:p w14:paraId="57979E1A" w14:textId="00659F0A" w:rsidR="68F659C6" w:rsidRPr="0056065C" w:rsidRDefault="68F659C6" w:rsidP="0056065C">
            <w:pPr>
              <w:spacing w:line="480" w:lineRule="auto"/>
              <w:rPr>
                <w:rFonts w:ascii="Arial Narrow" w:eastAsia="Times New Roman" w:hAnsi="Arial Narrow" w:cs="Times New Roman"/>
                <w:color w:val="000000" w:themeColor="text1"/>
              </w:rPr>
            </w:pPr>
            <w:r w:rsidRPr="0056065C">
              <w:rPr>
                <w:rFonts w:ascii="Arial Narrow" w:eastAsia="Times New Roman" w:hAnsi="Arial Narrow" w:cs="Times New Roman"/>
                <w:color w:val="000000" w:themeColor="text1"/>
              </w:rPr>
              <w:t>Maximum forecast length</w:t>
            </w:r>
          </w:p>
        </w:tc>
        <w:tc>
          <w:tcPr>
            <w:tcW w:w="5940" w:type="dxa"/>
          </w:tcPr>
          <w:p w14:paraId="52A57EC1" w14:textId="2F3BDAAE" w:rsidR="68F659C6" w:rsidRPr="0056065C" w:rsidRDefault="68F659C6" w:rsidP="0056065C">
            <w:pPr>
              <w:spacing w:line="480" w:lineRule="auto"/>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000000" w:themeColor="text1"/>
              </w:rPr>
            </w:pPr>
            <w:r w:rsidRPr="0056065C">
              <w:rPr>
                <w:rFonts w:ascii="Arial Narrow" w:eastAsia="Times New Roman" w:hAnsi="Arial Narrow" w:cs="Times New Roman"/>
                <w:color w:val="000000" w:themeColor="text1"/>
              </w:rPr>
              <w:t>7 days</w:t>
            </w:r>
          </w:p>
        </w:tc>
      </w:tr>
      <w:tr w:rsidR="68F659C6" w:rsidRPr="0056065C" w14:paraId="6C242679" w14:textId="77777777" w:rsidTr="0056065C">
        <w:trPr>
          <w:trHeight w:val="300"/>
        </w:trPr>
        <w:tc>
          <w:tcPr>
            <w:cnfStyle w:val="001000000000" w:firstRow="0" w:lastRow="0" w:firstColumn="1" w:lastColumn="0" w:oddVBand="0" w:evenVBand="0" w:oddHBand="0" w:evenHBand="0" w:firstRowFirstColumn="0" w:firstRowLastColumn="0" w:lastRowFirstColumn="0" w:lastRowLastColumn="0"/>
            <w:tcW w:w="3256" w:type="dxa"/>
          </w:tcPr>
          <w:p w14:paraId="5970CC2C" w14:textId="521DB75E" w:rsidR="68F659C6" w:rsidRPr="0056065C" w:rsidRDefault="68F659C6" w:rsidP="0056065C">
            <w:pPr>
              <w:spacing w:line="480" w:lineRule="auto"/>
              <w:rPr>
                <w:rFonts w:ascii="Arial Narrow" w:eastAsia="Times New Roman" w:hAnsi="Arial Narrow" w:cs="Times New Roman"/>
              </w:rPr>
            </w:pPr>
            <w:r w:rsidRPr="0056065C">
              <w:rPr>
                <w:rFonts w:ascii="Arial Narrow" w:eastAsia="Times New Roman" w:hAnsi="Arial Narrow" w:cs="Times New Roman"/>
              </w:rPr>
              <w:t>Zonal statistic</w:t>
            </w:r>
          </w:p>
        </w:tc>
        <w:tc>
          <w:tcPr>
            <w:tcW w:w="5940" w:type="dxa"/>
          </w:tcPr>
          <w:p w14:paraId="0566A629" w14:textId="1E47728B" w:rsidR="68F659C6" w:rsidRPr="0056065C" w:rsidRDefault="68F659C6" w:rsidP="0056065C">
            <w:pPr>
              <w:spacing w:line="480" w:lineRule="auto"/>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rPr>
            </w:pPr>
            <w:r w:rsidRPr="0056065C">
              <w:rPr>
                <w:rFonts w:ascii="Arial Narrow" w:eastAsia="Times New Roman" w:hAnsi="Arial Narrow" w:cs="Times New Roman"/>
              </w:rPr>
              <w:t>Mean areal precipitation per polygon</w:t>
            </w:r>
          </w:p>
        </w:tc>
      </w:tr>
      <w:tr w:rsidR="68F659C6" w:rsidRPr="0056065C" w14:paraId="4C9B31E6" w14:textId="77777777" w:rsidTr="0056065C">
        <w:trPr>
          <w:trHeight w:val="300"/>
        </w:trPr>
        <w:tc>
          <w:tcPr>
            <w:cnfStyle w:val="001000000000" w:firstRow="0" w:lastRow="0" w:firstColumn="1" w:lastColumn="0" w:oddVBand="0" w:evenVBand="0" w:oddHBand="0" w:evenHBand="0" w:firstRowFirstColumn="0" w:firstRowLastColumn="0" w:lastRowFirstColumn="0" w:lastRowLastColumn="0"/>
            <w:tcW w:w="3256" w:type="dxa"/>
          </w:tcPr>
          <w:p w14:paraId="66EB3639" w14:textId="024C5594" w:rsidR="68F659C6" w:rsidRPr="0056065C" w:rsidRDefault="68F659C6" w:rsidP="0056065C">
            <w:pPr>
              <w:spacing w:line="480" w:lineRule="auto"/>
              <w:rPr>
                <w:rFonts w:ascii="Arial Narrow" w:eastAsia="Times New Roman" w:hAnsi="Arial Narrow" w:cs="Times New Roman"/>
                <w:color w:val="000000" w:themeColor="text1"/>
              </w:rPr>
            </w:pPr>
            <w:r w:rsidRPr="0056065C">
              <w:rPr>
                <w:rFonts w:ascii="Arial Narrow" w:eastAsia="Times New Roman" w:hAnsi="Arial Narrow" w:cs="Times New Roman"/>
                <w:color w:val="000000" w:themeColor="text1"/>
              </w:rPr>
              <w:t>Daily alert threshold</w:t>
            </w:r>
          </w:p>
        </w:tc>
        <w:tc>
          <w:tcPr>
            <w:tcW w:w="5940" w:type="dxa"/>
          </w:tcPr>
          <w:p w14:paraId="5F826F59" w14:textId="349FB22D" w:rsidR="68F659C6" w:rsidRPr="0056065C" w:rsidRDefault="68F659C6" w:rsidP="0056065C">
            <w:pPr>
              <w:spacing w:line="480" w:lineRule="auto"/>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000000" w:themeColor="text1"/>
              </w:rPr>
            </w:pPr>
            <w:r w:rsidRPr="0056065C">
              <w:rPr>
                <w:rFonts w:ascii="Arial Narrow" w:eastAsia="Times New Roman" w:hAnsi="Arial Narrow" w:cs="Times New Roman"/>
                <w:color w:val="000000" w:themeColor="text1"/>
              </w:rPr>
              <w:t>≥50 mm (red cell highlighting)</w:t>
            </w:r>
          </w:p>
        </w:tc>
      </w:tr>
      <w:tr w:rsidR="68F659C6" w:rsidRPr="0056065C" w14:paraId="1510B2B6" w14:textId="77777777" w:rsidTr="0056065C">
        <w:trPr>
          <w:trHeight w:val="300"/>
        </w:trPr>
        <w:tc>
          <w:tcPr>
            <w:cnfStyle w:val="001000000000" w:firstRow="0" w:lastRow="0" w:firstColumn="1" w:lastColumn="0" w:oddVBand="0" w:evenVBand="0" w:oddHBand="0" w:evenHBand="0" w:firstRowFirstColumn="0" w:firstRowLastColumn="0" w:lastRowFirstColumn="0" w:lastRowLastColumn="0"/>
            <w:tcW w:w="3256" w:type="dxa"/>
          </w:tcPr>
          <w:p w14:paraId="0DB326F1" w14:textId="24CF649D" w:rsidR="68F659C6" w:rsidRPr="0056065C" w:rsidRDefault="68F659C6" w:rsidP="0056065C">
            <w:pPr>
              <w:spacing w:line="480" w:lineRule="auto"/>
              <w:rPr>
                <w:rFonts w:ascii="Arial Narrow" w:eastAsia="Times New Roman" w:hAnsi="Arial Narrow" w:cs="Times New Roman"/>
              </w:rPr>
            </w:pPr>
            <w:r w:rsidRPr="0056065C">
              <w:rPr>
                <w:rFonts w:ascii="Arial Narrow" w:eastAsia="Times New Roman" w:hAnsi="Arial Narrow" w:cs="Times New Roman"/>
              </w:rPr>
              <w:t>Weekly alert threshold</w:t>
            </w:r>
          </w:p>
        </w:tc>
        <w:tc>
          <w:tcPr>
            <w:tcW w:w="5940" w:type="dxa"/>
          </w:tcPr>
          <w:p w14:paraId="4D8AAEC8" w14:textId="5D42F2CA" w:rsidR="68F659C6" w:rsidRPr="0056065C" w:rsidRDefault="68F659C6" w:rsidP="0056065C">
            <w:pPr>
              <w:spacing w:line="480" w:lineRule="auto"/>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rPr>
            </w:pPr>
            <w:r w:rsidRPr="0056065C">
              <w:rPr>
                <w:rFonts w:ascii="Arial Narrow" w:eastAsia="Times New Roman" w:hAnsi="Arial Narrow" w:cs="Times New Roman"/>
              </w:rPr>
              <w:t>≥200 mm total (red cell highlighting)</w:t>
            </w:r>
          </w:p>
        </w:tc>
      </w:tr>
      <w:tr w:rsidR="68F659C6" w:rsidRPr="0056065C" w14:paraId="400396DD" w14:textId="77777777" w:rsidTr="0056065C">
        <w:trPr>
          <w:trHeight w:val="300"/>
        </w:trPr>
        <w:tc>
          <w:tcPr>
            <w:cnfStyle w:val="001000000000" w:firstRow="0" w:lastRow="0" w:firstColumn="1" w:lastColumn="0" w:oddVBand="0" w:evenVBand="0" w:oddHBand="0" w:evenHBand="0" w:firstRowFirstColumn="0" w:firstRowLastColumn="0" w:lastRowFirstColumn="0" w:lastRowLastColumn="0"/>
            <w:tcW w:w="3256" w:type="dxa"/>
          </w:tcPr>
          <w:p w14:paraId="41D9334F" w14:textId="0676DF9C" w:rsidR="68F659C6" w:rsidRPr="0056065C" w:rsidRDefault="68F659C6" w:rsidP="0056065C">
            <w:pPr>
              <w:spacing w:line="480" w:lineRule="auto"/>
              <w:rPr>
                <w:rFonts w:ascii="Arial Narrow" w:eastAsia="Times New Roman" w:hAnsi="Arial Narrow" w:cs="Times New Roman"/>
                <w:color w:val="000000" w:themeColor="text1"/>
              </w:rPr>
            </w:pPr>
            <w:r w:rsidRPr="0056065C">
              <w:rPr>
                <w:rFonts w:ascii="Arial Narrow" w:eastAsia="Times New Roman" w:hAnsi="Arial Narrow" w:cs="Times New Roman"/>
                <w:color w:val="000000" w:themeColor="text1"/>
              </w:rPr>
              <w:t>Map output resolution</w:t>
            </w:r>
          </w:p>
        </w:tc>
        <w:tc>
          <w:tcPr>
            <w:tcW w:w="5940" w:type="dxa"/>
          </w:tcPr>
          <w:p w14:paraId="2CBAAF1D" w14:textId="79492DEE" w:rsidR="68F659C6" w:rsidRPr="0056065C" w:rsidRDefault="68F659C6" w:rsidP="0056065C">
            <w:pPr>
              <w:spacing w:line="480" w:lineRule="auto"/>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000000" w:themeColor="text1"/>
              </w:rPr>
            </w:pPr>
            <w:r w:rsidRPr="0056065C">
              <w:rPr>
                <w:rFonts w:ascii="Arial Narrow" w:eastAsia="Times New Roman" w:hAnsi="Arial Narrow" w:cs="Times New Roman"/>
                <w:color w:val="000000" w:themeColor="text1"/>
              </w:rPr>
              <w:t>150 DPI (PNG)</w:t>
            </w:r>
          </w:p>
        </w:tc>
      </w:tr>
      <w:tr w:rsidR="68F659C6" w:rsidRPr="0056065C" w14:paraId="562865A9" w14:textId="77777777" w:rsidTr="0056065C">
        <w:trPr>
          <w:trHeight w:val="300"/>
        </w:trPr>
        <w:tc>
          <w:tcPr>
            <w:cnfStyle w:val="001000000000" w:firstRow="0" w:lastRow="0" w:firstColumn="1" w:lastColumn="0" w:oddVBand="0" w:evenVBand="0" w:oddHBand="0" w:evenHBand="0" w:firstRowFirstColumn="0" w:firstRowLastColumn="0" w:lastRowFirstColumn="0" w:lastRowLastColumn="0"/>
            <w:tcW w:w="3256" w:type="dxa"/>
          </w:tcPr>
          <w:p w14:paraId="21BA771A" w14:textId="646CF386" w:rsidR="68F659C6" w:rsidRPr="0056065C" w:rsidRDefault="68F659C6" w:rsidP="0056065C">
            <w:pPr>
              <w:spacing w:line="480" w:lineRule="auto"/>
              <w:rPr>
                <w:rFonts w:ascii="Arial Narrow" w:eastAsia="Times New Roman" w:hAnsi="Arial Narrow" w:cs="Times New Roman"/>
              </w:rPr>
            </w:pPr>
            <w:r w:rsidRPr="0056065C">
              <w:rPr>
                <w:rFonts w:ascii="Arial Narrow" w:eastAsia="Times New Roman" w:hAnsi="Arial Narrow" w:cs="Times New Roman"/>
              </w:rPr>
              <w:t>Animation frame rate</w:t>
            </w:r>
          </w:p>
        </w:tc>
        <w:tc>
          <w:tcPr>
            <w:tcW w:w="5940" w:type="dxa"/>
          </w:tcPr>
          <w:p w14:paraId="3B7F2936" w14:textId="77B24F12" w:rsidR="68F659C6" w:rsidRPr="0056065C" w:rsidRDefault="68F659C6" w:rsidP="0056065C">
            <w:pPr>
              <w:spacing w:line="480" w:lineRule="auto"/>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rPr>
            </w:pPr>
            <w:r w:rsidRPr="0056065C">
              <w:rPr>
                <w:rFonts w:ascii="Arial Narrow" w:eastAsia="Times New Roman" w:hAnsi="Arial Narrow" w:cs="Times New Roman"/>
              </w:rPr>
              <w:t>1 frame per second (GIF)</w:t>
            </w:r>
          </w:p>
        </w:tc>
      </w:tr>
      <w:tr w:rsidR="68F659C6" w:rsidRPr="0056065C" w14:paraId="021DEDD8" w14:textId="77777777" w:rsidTr="0056065C">
        <w:trPr>
          <w:trHeight w:val="300"/>
        </w:trPr>
        <w:tc>
          <w:tcPr>
            <w:cnfStyle w:val="001000000000" w:firstRow="0" w:lastRow="0" w:firstColumn="1" w:lastColumn="0" w:oddVBand="0" w:evenVBand="0" w:oddHBand="0" w:evenHBand="0" w:firstRowFirstColumn="0" w:firstRowLastColumn="0" w:lastRowFirstColumn="0" w:lastRowLastColumn="0"/>
            <w:tcW w:w="3256" w:type="dxa"/>
          </w:tcPr>
          <w:p w14:paraId="37BA2CEE" w14:textId="315DC888" w:rsidR="68F659C6" w:rsidRPr="0056065C" w:rsidRDefault="68F659C6" w:rsidP="0056065C">
            <w:pPr>
              <w:spacing w:line="480" w:lineRule="auto"/>
              <w:rPr>
                <w:rFonts w:ascii="Arial Narrow" w:eastAsia="Times New Roman" w:hAnsi="Arial Narrow" w:cs="Times New Roman"/>
                <w:color w:val="000000" w:themeColor="text1"/>
              </w:rPr>
            </w:pPr>
            <w:proofErr w:type="gramStart"/>
            <w:r w:rsidRPr="0056065C">
              <w:rPr>
                <w:rFonts w:ascii="Arial Narrow" w:eastAsia="Times New Roman" w:hAnsi="Arial Narrow" w:cs="Times New Roman"/>
                <w:color w:val="000000" w:themeColor="text1"/>
              </w:rPr>
              <w:t>Download</w:t>
            </w:r>
            <w:proofErr w:type="gramEnd"/>
            <w:r w:rsidRPr="0056065C">
              <w:rPr>
                <w:rFonts w:ascii="Arial Narrow" w:eastAsia="Times New Roman" w:hAnsi="Arial Narrow" w:cs="Times New Roman"/>
                <w:color w:val="000000" w:themeColor="text1"/>
              </w:rPr>
              <w:t xml:space="preserve"> retry attempts</w:t>
            </w:r>
          </w:p>
        </w:tc>
        <w:tc>
          <w:tcPr>
            <w:tcW w:w="5940" w:type="dxa"/>
          </w:tcPr>
          <w:p w14:paraId="2BE81C3E" w14:textId="50FE37B5" w:rsidR="68F659C6" w:rsidRPr="0056065C" w:rsidRDefault="68F659C6" w:rsidP="0056065C">
            <w:pPr>
              <w:spacing w:line="480" w:lineRule="auto"/>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000000" w:themeColor="text1"/>
              </w:rPr>
            </w:pPr>
            <w:r w:rsidRPr="0056065C">
              <w:rPr>
                <w:rFonts w:ascii="Arial Narrow" w:eastAsia="Times New Roman" w:hAnsi="Arial Narrow" w:cs="Times New Roman"/>
                <w:color w:val="000000" w:themeColor="text1"/>
              </w:rPr>
              <w:t>5 per file, with 600-second timeout</w:t>
            </w:r>
          </w:p>
        </w:tc>
      </w:tr>
    </w:tbl>
    <w:p w14:paraId="461E8777" w14:textId="18100BED" w:rsidR="68F659C6" w:rsidRDefault="68F659C6" w:rsidP="68F659C6">
      <w:pPr>
        <w:pStyle w:val="ListParagraph"/>
        <w:spacing w:after="0"/>
        <w:rPr>
          <w:rFonts w:eastAsia="Times New Roman" w:cs="Times New Roman"/>
        </w:rPr>
      </w:pPr>
    </w:p>
    <w:p w14:paraId="43A0A142" w14:textId="5542CE18" w:rsidR="199445C7" w:rsidRDefault="199445C7" w:rsidP="68F659C6">
      <w:pPr>
        <w:pStyle w:val="BodyText"/>
        <w:ind w:firstLine="0"/>
        <w:rPr>
          <w:rFonts w:ascii="Arial" w:eastAsia="Arial" w:hAnsi="Arial" w:cs="Arial"/>
          <w:b/>
          <w:bCs/>
        </w:rPr>
      </w:pPr>
      <w:r w:rsidRPr="68F659C6">
        <w:rPr>
          <w:rFonts w:ascii="Arial" w:eastAsia="Arial" w:hAnsi="Arial" w:cs="Arial"/>
          <w:b/>
          <w:bCs/>
        </w:rPr>
        <w:t>Software Environment</w:t>
      </w:r>
    </w:p>
    <w:p w14:paraId="35662A1A" w14:textId="67883DC5" w:rsidR="199445C7" w:rsidRDefault="199445C7" w:rsidP="006E3D43">
      <w:pPr>
        <w:spacing w:after="140"/>
        <w:ind w:firstLine="720"/>
        <w:rPr>
          <w:rFonts w:eastAsia="Times New Roman" w:cs="Times New Roman"/>
        </w:rPr>
      </w:pPr>
      <w:r w:rsidRPr="68F659C6">
        <w:rPr>
          <w:rFonts w:eastAsia="Times New Roman" w:cs="Times New Roman"/>
        </w:rPr>
        <w:lastRenderedPageBreak/>
        <w:t xml:space="preserve">The pipeline is implemented in R (version 4.0+) using the following core packages: terra for raster processing; sf for vector spatial operations; </w:t>
      </w:r>
      <w:proofErr w:type="spellStart"/>
      <w:r w:rsidRPr="68F659C6">
        <w:rPr>
          <w:rFonts w:eastAsia="Times New Roman" w:cs="Times New Roman"/>
        </w:rPr>
        <w:t>tidyverse</w:t>
      </w:r>
      <w:proofErr w:type="spellEnd"/>
      <w:r w:rsidRPr="68F659C6">
        <w:rPr>
          <w:rFonts w:eastAsia="Times New Roman" w:cs="Times New Roman"/>
        </w:rPr>
        <w:t xml:space="preserve"> (</w:t>
      </w:r>
      <w:proofErr w:type="spellStart"/>
      <w:r w:rsidRPr="68F659C6">
        <w:rPr>
          <w:rFonts w:eastAsia="Times New Roman" w:cs="Times New Roman"/>
        </w:rPr>
        <w:t>dplyr</w:t>
      </w:r>
      <w:proofErr w:type="spellEnd"/>
      <w:r w:rsidRPr="68F659C6">
        <w:rPr>
          <w:rFonts w:eastAsia="Times New Roman" w:cs="Times New Roman"/>
        </w:rPr>
        <w:t xml:space="preserve">, </w:t>
      </w:r>
      <w:proofErr w:type="spellStart"/>
      <w:r w:rsidRPr="68F659C6">
        <w:rPr>
          <w:rFonts w:eastAsia="Times New Roman" w:cs="Times New Roman"/>
        </w:rPr>
        <w:t>tidyr</w:t>
      </w:r>
      <w:proofErr w:type="spellEnd"/>
      <w:r w:rsidRPr="68F659C6">
        <w:rPr>
          <w:rFonts w:eastAsia="Times New Roman" w:cs="Times New Roman"/>
        </w:rPr>
        <w:t xml:space="preserve">, </w:t>
      </w:r>
      <w:proofErr w:type="spellStart"/>
      <w:r w:rsidRPr="68F659C6">
        <w:rPr>
          <w:rFonts w:eastAsia="Times New Roman" w:cs="Times New Roman"/>
        </w:rPr>
        <w:t>readr</w:t>
      </w:r>
      <w:proofErr w:type="spellEnd"/>
      <w:r w:rsidRPr="68F659C6">
        <w:rPr>
          <w:rFonts w:eastAsia="Times New Roman" w:cs="Times New Roman"/>
        </w:rPr>
        <w:t xml:space="preserve">, ggplot2) for data manipulation and visualization; </w:t>
      </w:r>
      <w:proofErr w:type="spellStart"/>
      <w:r w:rsidRPr="68F659C6">
        <w:rPr>
          <w:rFonts w:eastAsia="Times New Roman" w:cs="Times New Roman"/>
        </w:rPr>
        <w:t>rasterVis</w:t>
      </w:r>
      <w:proofErr w:type="spellEnd"/>
      <w:r w:rsidRPr="68F659C6">
        <w:rPr>
          <w:rFonts w:eastAsia="Times New Roman" w:cs="Times New Roman"/>
        </w:rPr>
        <w:t xml:space="preserve"> with </w:t>
      </w:r>
      <w:proofErr w:type="spellStart"/>
      <w:r w:rsidRPr="68F659C6">
        <w:rPr>
          <w:rFonts w:eastAsia="Times New Roman" w:cs="Times New Roman"/>
        </w:rPr>
        <w:t>latticeExtra</w:t>
      </w:r>
      <w:proofErr w:type="spellEnd"/>
      <w:r w:rsidRPr="68F659C6">
        <w:rPr>
          <w:rFonts w:eastAsia="Times New Roman" w:cs="Times New Roman"/>
        </w:rPr>
        <w:t xml:space="preserve"> for spatial map rendering; </w:t>
      </w:r>
      <w:proofErr w:type="spellStart"/>
      <w:r w:rsidRPr="68F659C6">
        <w:rPr>
          <w:rFonts w:eastAsia="Times New Roman" w:cs="Times New Roman"/>
        </w:rPr>
        <w:t>magick</w:t>
      </w:r>
      <w:proofErr w:type="spellEnd"/>
      <w:r w:rsidRPr="68F659C6">
        <w:rPr>
          <w:rFonts w:eastAsia="Times New Roman" w:cs="Times New Roman"/>
        </w:rPr>
        <w:t xml:space="preserve"> for GIF animation assembly; </w:t>
      </w:r>
      <w:proofErr w:type="spellStart"/>
      <w:r w:rsidRPr="68F659C6">
        <w:rPr>
          <w:rFonts w:eastAsia="Times New Roman" w:cs="Times New Roman"/>
        </w:rPr>
        <w:t>httr</w:t>
      </w:r>
      <w:proofErr w:type="spellEnd"/>
      <w:r w:rsidRPr="68F659C6">
        <w:rPr>
          <w:rFonts w:eastAsia="Times New Roman" w:cs="Times New Roman"/>
        </w:rPr>
        <w:t xml:space="preserve"> and curl for HTTP data acquisition with retry logic; </w:t>
      </w:r>
      <w:proofErr w:type="spellStart"/>
      <w:r w:rsidRPr="68F659C6">
        <w:rPr>
          <w:rFonts w:eastAsia="Times New Roman" w:cs="Times New Roman"/>
        </w:rPr>
        <w:t>kableExtra</w:t>
      </w:r>
      <w:proofErr w:type="spellEnd"/>
      <w:r w:rsidRPr="68F659C6">
        <w:rPr>
          <w:rFonts w:eastAsia="Times New Roman" w:cs="Times New Roman"/>
        </w:rPr>
        <w:t xml:space="preserve"> for conditional HTML table formatting; and blastula for SMTP email composition and delivery. Package dependencies are managed through </w:t>
      </w:r>
      <w:proofErr w:type="spellStart"/>
      <w:r w:rsidRPr="68F659C6">
        <w:rPr>
          <w:rFonts w:eastAsia="Times New Roman" w:cs="Times New Roman"/>
        </w:rPr>
        <w:t>pacman</w:t>
      </w:r>
      <w:proofErr w:type="spellEnd"/>
      <w:r w:rsidRPr="68F659C6">
        <w:rPr>
          <w:rFonts w:eastAsia="Times New Roman" w:cs="Times New Roman"/>
        </w:rPr>
        <w:t>, which installs missing packages automatically at runtime.</w:t>
      </w:r>
    </w:p>
    <w:p w14:paraId="544E1699" w14:textId="54A8BE06" w:rsidR="199445C7" w:rsidRPr="006E3D43" w:rsidRDefault="199445C7" w:rsidP="68F659C6">
      <w:pPr>
        <w:spacing w:after="140"/>
        <w:rPr>
          <w:rFonts w:ascii="Arial" w:eastAsia="Arial" w:hAnsi="Arial" w:cs="Arial"/>
          <w:b/>
          <w:bCs/>
        </w:rPr>
      </w:pPr>
      <w:r w:rsidRPr="006E3D43">
        <w:rPr>
          <w:rFonts w:ascii="Arial" w:eastAsia="Arial" w:hAnsi="Arial" w:cs="Arial"/>
          <w:b/>
          <w:bCs/>
        </w:rPr>
        <w:t>Quality Assurance</w:t>
      </w:r>
    </w:p>
    <w:p w14:paraId="3CBD4DB0" w14:textId="6A9560F5" w:rsidR="199445C7" w:rsidRPr="006E3D43" w:rsidRDefault="199445C7" w:rsidP="006E3D43">
      <w:pPr>
        <w:spacing w:after="140"/>
        <w:ind w:firstLine="720"/>
      </w:pPr>
      <w:r w:rsidRPr="68F659C6">
        <w:rPr>
          <w:rFonts w:eastAsia="Times New Roman" w:cs="Times New Roman"/>
        </w:rPr>
        <w:t>Automated checks are applied at multiple pipeline stages. Downloaded files are validated against a minimum file size threshold (&gt;1 MB) to reject incomplete or corrupted GRIB2 transfers. The forecast run selection algorithm verifies completeness before accepting a model run and falls back to partial runs with a logged warning. Precipitation raster layers are checked for valid data presence prior to zonal extraction. All processing milestones are recorded to a timestamped log file for post-hoc auditing. Critical failures (e.g., no GRIB files downloaded, no precipitation data found) trigger script termination with descriptive error messages.</w:t>
      </w:r>
    </w:p>
    <w:p w14:paraId="41E0815D" w14:textId="4EB670F9" w:rsidR="68F659C6" w:rsidRDefault="68F659C6" w:rsidP="68F659C6">
      <w:pPr>
        <w:pStyle w:val="BodyText"/>
      </w:pPr>
    </w:p>
    <w:p w14:paraId="58017171" w14:textId="58232435" w:rsidR="006A110F" w:rsidRDefault="7BBC1C0E" w:rsidP="004407D0">
      <w:pPr>
        <w:pStyle w:val="Head2"/>
      </w:pPr>
      <w:bookmarkStart w:id="55" w:name="_Toc228290446"/>
      <w:r w:rsidRPr="004407D0">
        <w:t>Informal</w:t>
      </w:r>
      <w:r w:rsidR="006A110F">
        <w:t xml:space="preserve"> Settlement</w:t>
      </w:r>
      <w:r w:rsidR="007D7E00">
        <w:t xml:space="preserve">s </w:t>
      </w:r>
      <w:r w:rsidR="09F2FAFA">
        <w:t>Mapping</w:t>
      </w:r>
      <w:bookmarkEnd w:id="55"/>
    </w:p>
    <w:p w14:paraId="3998BAE8" w14:textId="35076BDF" w:rsidR="546E5EF2" w:rsidRDefault="546E5EF2" w:rsidP="58CE5B8A">
      <w:pPr>
        <w:pStyle w:val="BodyText"/>
      </w:pPr>
      <w:r>
        <w:t xml:space="preserve"> Pacific island cities face accelerating </w:t>
      </w:r>
      <w:r w:rsidR="766A6918">
        <w:t>urbanization</w:t>
      </w:r>
      <w:r>
        <w:t xml:space="preserve">, climate exposure, and natural hazard risk, yet comprehensive, up-to-date building inventory data remain scarce across much of the region. This part of the report documents a deep-learning-based workflow developed to extract multi-temporal building footprints from very-high-resolution (VHR) commercial satellite imagery across six informal settlement sites in three Pacific nations: Papua New Guinea, </w:t>
      </w:r>
      <w:r>
        <w:lastRenderedPageBreak/>
        <w:t xml:space="preserve">Solomon Islands, and Fiji. The study sites </w:t>
      </w:r>
      <w:r w:rsidR="14858502">
        <w:t xml:space="preserve">were </w:t>
      </w:r>
      <w:r>
        <w:t xml:space="preserve">8 Mile Settlement and </w:t>
      </w:r>
      <w:proofErr w:type="spellStart"/>
      <w:r>
        <w:t>Taurama</w:t>
      </w:r>
      <w:proofErr w:type="spellEnd"/>
      <w:r>
        <w:t xml:space="preserve"> Valley (Port Moresby, PNG), White River and </w:t>
      </w:r>
      <w:proofErr w:type="spellStart"/>
      <w:r>
        <w:t>Mbumburu</w:t>
      </w:r>
      <w:proofErr w:type="spellEnd"/>
      <w:r>
        <w:t xml:space="preserve"> (Honiara, Solomon Islands), and Tacirua and Wailekutu (Greater Suva, Fiji)</w:t>
      </w:r>
      <w:r w:rsidR="2812818A">
        <w:t xml:space="preserve">. </w:t>
      </w:r>
      <w:r>
        <w:t xml:space="preserve"> </w:t>
      </w:r>
      <w:r w:rsidR="10DEC391">
        <w:t xml:space="preserve">These sites </w:t>
      </w:r>
      <w:r>
        <w:t>were selected</w:t>
      </w:r>
      <w:r w:rsidR="4BA3E15C">
        <w:t xml:space="preserve"> by</w:t>
      </w:r>
      <w:r>
        <w:t xml:space="preserve"> </w:t>
      </w:r>
      <w:r w:rsidR="1682511F">
        <w:t>ADB to</w:t>
      </w:r>
      <w:r>
        <w:t xml:space="preserve"> represent a range of urban density, topographic complexity, and canopy cover conditions.</w:t>
      </w:r>
    </w:p>
    <w:p w14:paraId="0FC3EDF4" w14:textId="3AA412A5" w:rsidR="546E5EF2" w:rsidRDefault="546E5EF2" w:rsidP="006E3D43">
      <w:pPr>
        <w:pStyle w:val="BodyText"/>
      </w:pPr>
      <w:r>
        <w:t xml:space="preserve">Imagery spanning three temporal epochs (approximately 2005, 2015, and 2025) was sourced from the QuickBird-2, WorldView-2, and WorldView-3 sensor archive. A seven-stage processing workflow was implemented, encompassing image co-registration, Gram-Schmidt pan-sharpening, 8-bit RGB composite preparation, deep learning instance segmentation using the Esri Mask R-CNN </w:t>
      </w:r>
      <w:proofErr w:type="spellStart"/>
      <w:r>
        <w:t>BuildingFootprintExtraction</w:t>
      </w:r>
      <w:proofErr w:type="spellEnd"/>
      <w:r>
        <w:t xml:space="preserve"> model, post-processing, and manual quality assurance through systematic digitizing. The Esri Africa model was applied at Solomon Islands and Fiji sites; the Esri USA model produced the best results at the particularly challenging PNG sites. Post-processing included coastal clipping, minimum area filtering, geometry repair, and polygon regularization. Systematic manual editing was performed to recover missed buildings and remove false positives.</w:t>
      </w:r>
      <w:r w:rsidR="0F70415F">
        <w:t xml:space="preserve"> </w:t>
      </w:r>
    </w:p>
    <w:p w14:paraId="49848B31" w14:textId="5730F3EC" w:rsidR="0F70415F" w:rsidRDefault="00490460" w:rsidP="58CE5B8A">
      <w:pPr>
        <w:pStyle w:val="BodyText"/>
      </w:pPr>
      <w:r>
        <w:t xml:space="preserve"> </w:t>
      </w:r>
      <w:r>
        <w:fldChar w:fldCharType="begin"/>
      </w:r>
      <w:r>
        <w:instrText xml:space="preserve"> REF _Ref227325431 \h </w:instrText>
      </w:r>
      <w:r>
        <w:fldChar w:fldCharType="separate"/>
      </w:r>
      <w:r>
        <w:t xml:space="preserve">Table </w:t>
      </w:r>
      <w:r>
        <w:rPr>
          <w:noProof/>
        </w:rPr>
        <w:t>3</w:t>
      </w:r>
      <w:r>
        <w:fldChar w:fldCharType="end"/>
      </w:r>
      <w:r w:rsidR="0F70415F">
        <w:t xml:space="preserve"> provides a summary of all study sites, their respective nations, survey epochs, and sensor sources.</w:t>
      </w:r>
      <w:r w:rsidR="3F466F3A">
        <w:t xml:space="preserve"> Survey epochs differ between nations due to image availability: PNG sites use 2010/2016/2025, Fiji sites use 2009/2014/2025, and Solomon Islands sites use 2006/2015/2025. Cross-site compound annual growth rate (CAGR) comparisons must explicitly account for these differing time spans.</w:t>
      </w:r>
    </w:p>
    <w:p w14:paraId="78897A97" w14:textId="77777777" w:rsidR="00490460" w:rsidRDefault="00490460" w:rsidP="58CE5B8A">
      <w:pPr>
        <w:pStyle w:val="BodyText"/>
      </w:pPr>
    </w:p>
    <w:p w14:paraId="3173BF99" w14:textId="33781B56" w:rsidR="396DD0BA" w:rsidRPr="003C67AE" w:rsidRDefault="00490460" w:rsidP="006E3D43">
      <w:pPr>
        <w:pStyle w:val="Caption"/>
        <w:rPr>
          <w:rFonts w:ascii="Arial Narrow" w:hAnsi="Arial Narrow"/>
          <w:i/>
          <w:szCs w:val="24"/>
        </w:rPr>
      </w:pPr>
      <w:bookmarkStart w:id="56" w:name="_Ref227325431"/>
      <w:bookmarkStart w:id="57" w:name="_Toc228290770"/>
      <w:r w:rsidRPr="003C67AE">
        <w:rPr>
          <w:rFonts w:ascii="Arial Narrow" w:hAnsi="Arial Narrow"/>
          <w:szCs w:val="24"/>
        </w:rPr>
        <w:t xml:space="preserve">Table </w:t>
      </w:r>
      <w:r w:rsidRPr="003C67AE">
        <w:rPr>
          <w:rFonts w:ascii="Arial Narrow" w:hAnsi="Arial Narrow"/>
          <w:szCs w:val="24"/>
        </w:rPr>
        <w:fldChar w:fldCharType="begin"/>
      </w:r>
      <w:r w:rsidRPr="003C67AE">
        <w:rPr>
          <w:rFonts w:ascii="Arial Narrow" w:hAnsi="Arial Narrow"/>
          <w:szCs w:val="24"/>
        </w:rPr>
        <w:instrText xml:space="preserve"> SEQ Table \* ARABIC </w:instrText>
      </w:r>
      <w:r w:rsidRPr="003C67AE">
        <w:rPr>
          <w:rFonts w:ascii="Arial Narrow" w:hAnsi="Arial Narrow"/>
          <w:szCs w:val="24"/>
        </w:rPr>
        <w:fldChar w:fldCharType="separate"/>
      </w:r>
      <w:r w:rsidR="00F666F9" w:rsidRPr="003C67AE">
        <w:rPr>
          <w:rFonts w:ascii="Arial Narrow" w:hAnsi="Arial Narrow"/>
          <w:noProof/>
          <w:szCs w:val="24"/>
        </w:rPr>
        <w:t>3</w:t>
      </w:r>
      <w:r w:rsidRPr="003C67AE">
        <w:rPr>
          <w:rFonts w:ascii="Arial Narrow" w:hAnsi="Arial Narrow"/>
          <w:szCs w:val="24"/>
        </w:rPr>
        <w:fldChar w:fldCharType="end"/>
      </w:r>
      <w:bookmarkEnd w:id="56"/>
      <w:r w:rsidRPr="003C67AE">
        <w:rPr>
          <w:rFonts w:ascii="Arial Narrow" w:hAnsi="Arial Narrow"/>
          <w:szCs w:val="24"/>
        </w:rPr>
        <w:t>. Study site summary - six informal settlement sites across three Pacific Island nations with survey epochs and sensor sources.</w:t>
      </w:r>
      <w:bookmarkEnd w:id="57"/>
    </w:p>
    <w:tbl>
      <w:tblPr>
        <w:tblStyle w:val="PlainTable1"/>
        <w:tblW w:w="9340" w:type="dxa"/>
        <w:tblLook w:val="04A0" w:firstRow="1" w:lastRow="0" w:firstColumn="1" w:lastColumn="0" w:noHBand="0" w:noVBand="1"/>
      </w:tblPr>
      <w:tblGrid>
        <w:gridCol w:w="915"/>
        <w:gridCol w:w="1277"/>
        <w:gridCol w:w="1127"/>
        <w:gridCol w:w="1176"/>
        <w:gridCol w:w="932"/>
        <w:gridCol w:w="913"/>
        <w:gridCol w:w="852"/>
        <w:gridCol w:w="2148"/>
      </w:tblGrid>
      <w:tr w:rsidR="58CE5B8A" w:rsidRPr="003C67AE" w14:paraId="08749C8D" w14:textId="77777777" w:rsidTr="006E3D43">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15" w:type="dxa"/>
            <w:tcMar>
              <w:top w:w="80" w:type="dxa"/>
              <w:left w:w="120" w:type="dxa"/>
              <w:bottom w:w="80" w:type="dxa"/>
              <w:right w:w="120" w:type="dxa"/>
            </w:tcMar>
            <w:vAlign w:val="center"/>
          </w:tcPr>
          <w:p w14:paraId="2A1AF3E7" w14:textId="09EE751C" w:rsidR="58CE5B8A" w:rsidRPr="003C67AE" w:rsidRDefault="6310CF7E" w:rsidP="006E3D43">
            <w:pPr>
              <w:spacing w:line="360" w:lineRule="auto"/>
              <w:jc w:val="center"/>
              <w:rPr>
                <w:rFonts w:ascii="Arial Narrow" w:eastAsia="Arial" w:hAnsi="Arial Narrow" w:cs="Arial"/>
                <w:color w:val="FFFFFF" w:themeColor="background1"/>
              </w:rPr>
            </w:pPr>
            <w:r w:rsidRPr="003C67AE">
              <w:rPr>
                <w:rFonts w:ascii="Arial Narrow" w:eastAsia="Arial" w:hAnsi="Arial Narrow" w:cs="Arial"/>
              </w:rPr>
              <w:lastRenderedPageBreak/>
              <w:t>Site ID</w:t>
            </w:r>
          </w:p>
        </w:tc>
        <w:tc>
          <w:tcPr>
            <w:tcW w:w="1277" w:type="dxa"/>
            <w:tcMar>
              <w:top w:w="80" w:type="dxa"/>
              <w:left w:w="120" w:type="dxa"/>
              <w:bottom w:w="80" w:type="dxa"/>
              <w:right w:w="120" w:type="dxa"/>
            </w:tcMar>
            <w:vAlign w:val="center"/>
          </w:tcPr>
          <w:p w14:paraId="0627CAEA" w14:textId="3873ED13" w:rsidR="58CE5B8A" w:rsidRPr="003C67AE" w:rsidRDefault="6310CF7E" w:rsidP="006E3D43">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Narrow" w:eastAsia="Arial" w:hAnsi="Arial Narrow" w:cs="Arial"/>
                <w:b w:val="0"/>
                <w:bCs w:val="0"/>
                <w:color w:val="FFFFFF" w:themeColor="background1"/>
              </w:rPr>
            </w:pPr>
            <w:r w:rsidRPr="003C67AE">
              <w:rPr>
                <w:rFonts w:ascii="Arial Narrow" w:eastAsia="Arial" w:hAnsi="Arial Narrow" w:cs="Arial"/>
              </w:rPr>
              <w:t>Settlement</w:t>
            </w:r>
          </w:p>
        </w:tc>
        <w:tc>
          <w:tcPr>
            <w:tcW w:w="1127" w:type="dxa"/>
            <w:tcMar>
              <w:top w:w="80" w:type="dxa"/>
              <w:left w:w="120" w:type="dxa"/>
              <w:bottom w:w="80" w:type="dxa"/>
              <w:right w:w="120" w:type="dxa"/>
            </w:tcMar>
            <w:vAlign w:val="center"/>
          </w:tcPr>
          <w:p w14:paraId="6D2F269D" w14:textId="0909A3BD" w:rsidR="58CE5B8A" w:rsidRPr="003C67AE" w:rsidRDefault="6310CF7E" w:rsidP="006E3D43">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Narrow" w:eastAsia="Arial" w:hAnsi="Arial Narrow" w:cs="Arial"/>
                <w:b w:val="0"/>
                <w:bCs w:val="0"/>
                <w:color w:val="FFFFFF" w:themeColor="background1"/>
              </w:rPr>
            </w:pPr>
            <w:r w:rsidRPr="003C67AE">
              <w:rPr>
                <w:rFonts w:ascii="Arial Narrow" w:eastAsia="Arial" w:hAnsi="Arial Narrow" w:cs="Arial"/>
              </w:rPr>
              <w:t>Nation</w:t>
            </w:r>
          </w:p>
        </w:tc>
        <w:tc>
          <w:tcPr>
            <w:tcW w:w="1176" w:type="dxa"/>
            <w:tcMar>
              <w:top w:w="80" w:type="dxa"/>
              <w:left w:w="120" w:type="dxa"/>
              <w:bottom w:w="80" w:type="dxa"/>
              <w:right w:w="120" w:type="dxa"/>
            </w:tcMar>
            <w:vAlign w:val="center"/>
          </w:tcPr>
          <w:p w14:paraId="4D041EA3" w14:textId="05AAF187" w:rsidR="58CE5B8A" w:rsidRPr="003C67AE" w:rsidRDefault="6310CF7E" w:rsidP="006E3D43">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Narrow" w:eastAsia="Arial" w:hAnsi="Arial Narrow" w:cs="Arial"/>
                <w:b w:val="0"/>
                <w:bCs w:val="0"/>
                <w:color w:val="FFFFFF" w:themeColor="background1"/>
              </w:rPr>
            </w:pPr>
            <w:r w:rsidRPr="003C67AE">
              <w:rPr>
                <w:rFonts w:ascii="Arial Narrow" w:eastAsia="Arial" w:hAnsi="Arial Narrow" w:cs="Arial"/>
              </w:rPr>
              <w:t>City</w:t>
            </w:r>
          </w:p>
        </w:tc>
        <w:tc>
          <w:tcPr>
            <w:tcW w:w="932" w:type="dxa"/>
            <w:tcMar>
              <w:top w:w="80" w:type="dxa"/>
              <w:left w:w="120" w:type="dxa"/>
              <w:bottom w:w="80" w:type="dxa"/>
              <w:right w:w="120" w:type="dxa"/>
            </w:tcMar>
            <w:vAlign w:val="center"/>
          </w:tcPr>
          <w:p w14:paraId="463D972D" w14:textId="22417305" w:rsidR="58CE5B8A" w:rsidRPr="003C67AE" w:rsidRDefault="6310CF7E" w:rsidP="006E3D43">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Narrow" w:eastAsia="Arial" w:hAnsi="Arial Narrow" w:cs="Arial"/>
                <w:b w:val="0"/>
                <w:bCs w:val="0"/>
                <w:color w:val="FFFFFF" w:themeColor="background1"/>
              </w:rPr>
            </w:pPr>
            <w:r w:rsidRPr="003C67AE">
              <w:rPr>
                <w:rFonts w:ascii="Arial Narrow" w:eastAsia="Arial" w:hAnsi="Arial Narrow" w:cs="Arial"/>
              </w:rPr>
              <w:t>Epoch 1</w:t>
            </w:r>
          </w:p>
        </w:tc>
        <w:tc>
          <w:tcPr>
            <w:tcW w:w="913" w:type="dxa"/>
            <w:tcMar>
              <w:top w:w="80" w:type="dxa"/>
              <w:left w:w="120" w:type="dxa"/>
              <w:bottom w:w="80" w:type="dxa"/>
              <w:right w:w="120" w:type="dxa"/>
            </w:tcMar>
            <w:vAlign w:val="center"/>
          </w:tcPr>
          <w:p w14:paraId="18C7DE33" w14:textId="4CCD3F87" w:rsidR="58CE5B8A" w:rsidRPr="003C67AE" w:rsidRDefault="6310CF7E" w:rsidP="006E3D43">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Narrow" w:eastAsia="Arial" w:hAnsi="Arial Narrow" w:cs="Arial"/>
                <w:b w:val="0"/>
                <w:bCs w:val="0"/>
                <w:color w:val="FFFFFF" w:themeColor="background1"/>
              </w:rPr>
            </w:pPr>
            <w:r w:rsidRPr="003C67AE">
              <w:rPr>
                <w:rFonts w:ascii="Arial Narrow" w:eastAsia="Arial" w:hAnsi="Arial Narrow" w:cs="Arial"/>
              </w:rPr>
              <w:t>Epoch 2</w:t>
            </w:r>
          </w:p>
        </w:tc>
        <w:tc>
          <w:tcPr>
            <w:tcW w:w="852" w:type="dxa"/>
            <w:tcMar>
              <w:top w:w="80" w:type="dxa"/>
              <w:left w:w="120" w:type="dxa"/>
              <w:bottom w:w="80" w:type="dxa"/>
              <w:right w:w="120" w:type="dxa"/>
            </w:tcMar>
            <w:vAlign w:val="center"/>
          </w:tcPr>
          <w:p w14:paraId="00F85ECD" w14:textId="47900BED" w:rsidR="58CE5B8A" w:rsidRPr="003C67AE" w:rsidRDefault="6310CF7E" w:rsidP="006E3D43">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Narrow" w:eastAsia="Arial" w:hAnsi="Arial Narrow" w:cs="Arial"/>
                <w:b w:val="0"/>
                <w:bCs w:val="0"/>
                <w:color w:val="FFFFFF" w:themeColor="background1"/>
              </w:rPr>
            </w:pPr>
            <w:r w:rsidRPr="003C67AE">
              <w:rPr>
                <w:rFonts w:ascii="Arial Narrow" w:eastAsia="Arial" w:hAnsi="Arial Narrow" w:cs="Arial"/>
              </w:rPr>
              <w:t>Epoch 3</w:t>
            </w:r>
          </w:p>
        </w:tc>
        <w:tc>
          <w:tcPr>
            <w:tcW w:w="2148" w:type="dxa"/>
            <w:tcMar>
              <w:top w:w="80" w:type="dxa"/>
              <w:left w:w="120" w:type="dxa"/>
              <w:bottom w:w="80" w:type="dxa"/>
              <w:right w:w="120" w:type="dxa"/>
            </w:tcMar>
            <w:vAlign w:val="center"/>
          </w:tcPr>
          <w:p w14:paraId="481C8452" w14:textId="05A3C055" w:rsidR="58CE5B8A" w:rsidRPr="003C67AE" w:rsidRDefault="6310CF7E" w:rsidP="006E3D43">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Narrow" w:eastAsia="Arial" w:hAnsi="Arial Narrow" w:cs="Arial"/>
                <w:b w:val="0"/>
                <w:bCs w:val="0"/>
                <w:color w:val="FFFFFF" w:themeColor="background1"/>
              </w:rPr>
            </w:pPr>
            <w:r w:rsidRPr="003C67AE">
              <w:rPr>
                <w:rFonts w:ascii="Arial Narrow" w:eastAsia="Arial" w:hAnsi="Arial Narrow" w:cs="Arial"/>
              </w:rPr>
              <w:t>Sensors</w:t>
            </w:r>
          </w:p>
        </w:tc>
      </w:tr>
      <w:tr w:rsidR="58CE5B8A" w:rsidRPr="003C67AE" w14:paraId="494A7828" w14:textId="77777777" w:rsidTr="006E3D4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15" w:type="dxa"/>
            <w:tcMar>
              <w:top w:w="60" w:type="dxa"/>
              <w:left w:w="120" w:type="dxa"/>
              <w:bottom w:w="60" w:type="dxa"/>
              <w:right w:w="120" w:type="dxa"/>
            </w:tcMar>
            <w:vAlign w:val="center"/>
          </w:tcPr>
          <w:p w14:paraId="71AC9EBF" w14:textId="748B0247" w:rsidR="58CE5B8A" w:rsidRPr="003C67AE" w:rsidRDefault="6310CF7E" w:rsidP="006E3D43">
            <w:pPr>
              <w:spacing w:line="360" w:lineRule="auto"/>
              <w:rPr>
                <w:rFonts w:ascii="Arial Narrow" w:eastAsia="Arial" w:hAnsi="Arial Narrow" w:cs="Arial"/>
              </w:rPr>
            </w:pPr>
            <w:r w:rsidRPr="003C67AE">
              <w:rPr>
                <w:rFonts w:ascii="Arial Narrow" w:eastAsia="Arial" w:hAnsi="Arial Narrow" w:cs="Arial"/>
              </w:rPr>
              <w:t>PNG-1</w:t>
            </w:r>
          </w:p>
        </w:tc>
        <w:tc>
          <w:tcPr>
            <w:tcW w:w="1277" w:type="dxa"/>
            <w:tcMar>
              <w:top w:w="60" w:type="dxa"/>
              <w:left w:w="120" w:type="dxa"/>
              <w:bottom w:w="60" w:type="dxa"/>
              <w:right w:w="120" w:type="dxa"/>
            </w:tcMar>
            <w:vAlign w:val="center"/>
          </w:tcPr>
          <w:p w14:paraId="5B1EFECB" w14:textId="0FEDC0A0" w:rsidR="58CE5B8A" w:rsidRPr="003C67AE" w:rsidRDefault="6310CF7E" w:rsidP="006E3D43">
            <w:pPr>
              <w:spacing w:line="360" w:lineRule="auto"/>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rPr>
            </w:pPr>
            <w:r w:rsidRPr="003C67AE">
              <w:rPr>
                <w:rFonts w:ascii="Arial Narrow" w:eastAsia="Arial" w:hAnsi="Arial Narrow" w:cs="Arial"/>
              </w:rPr>
              <w:t>8 Mile Settlement</w:t>
            </w:r>
          </w:p>
        </w:tc>
        <w:tc>
          <w:tcPr>
            <w:tcW w:w="1127" w:type="dxa"/>
            <w:tcMar>
              <w:top w:w="60" w:type="dxa"/>
              <w:left w:w="120" w:type="dxa"/>
              <w:bottom w:w="60" w:type="dxa"/>
              <w:right w:w="120" w:type="dxa"/>
            </w:tcMar>
            <w:vAlign w:val="center"/>
          </w:tcPr>
          <w:p w14:paraId="63E9B6FC" w14:textId="43178077" w:rsidR="58CE5B8A" w:rsidRPr="003C67AE" w:rsidRDefault="6310CF7E" w:rsidP="006E3D43">
            <w:pPr>
              <w:spacing w:line="360" w:lineRule="auto"/>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rPr>
            </w:pPr>
            <w:r w:rsidRPr="003C67AE">
              <w:rPr>
                <w:rFonts w:ascii="Arial Narrow" w:eastAsia="Arial" w:hAnsi="Arial Narrow" w:cs="Arial"/>
              </w:rPr>
              <w:t>Papua New Guinea</w:t>
            </w:r>
          </w:p>
        </w:tc>
        <w:tc>
          <w:tcPr>
            <w:tcW w:w="1176" w:type="dxa"/>
            <w:tcMar>
              <w:top w:w="60" w:type="dxa"/>
              <w:left w:w="120" w:type="dxa"/>
              <w:bottom w:w="60" w:type="dxa"/>
              <w:right w:w="120" w:type="dxa"/>
            </w:tcMar>
            <w:vAlign w:val="center"/>
          </w:tcPr>
          <w:p w14:paraId="0D480E5D" w14:textId="624C74D2" w:rsidR="58CE5B8A" w:rsidRPr="003C67AE" w:rsidRDefault="6310CF7E" w:rsidP="006E3D43">
            <w:pPr>
              <w:spacing w:line="360" w:lineRule="auto"/>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rPr>
            </w:pPr>
            <w:r w:rsidRPr="003C67AE">
              <w:rPr>
                <w:rFonts w:ascii="Arial Narrow" w:eastAsia="Arial" w:hAnsi="Arial Narrow" w:cs="Arial"/>
              </w:rPr>
              <w:t>Port Moresby</w:t>
            </w:r>
          </w:p>
        </w:tc>
        <w:tc>
          <w:tcPr>
            <w:tcW w:w="932" w:type="dxa"/>
            <w:tcMar>
              <w:top w:w="60" w:type="dxa"/>
              <w:left w:w="120" w:type="dxa"/>
              <w:bottom w:w="60" w:type="dxa"/>
              <w:right w:w="120" w:type="dxa"/>
            </w:tcMar>
            <w:vAlign w:val="center"/>
          </w:tcPr>
          <w:p w14:paraId="2FBB7685" w14:textId="36FD1041" w:rsidR="58CE5B8A" w:rsidRPr="003C67AE" w:rsidRDefault="6310CF7E" w:rsidP="006E3D43">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rPr>
            </w:pPr>
            <w:r w:rsidRPr="003C67AE">
              <w:rPr>
                <w:rFonts w:ascii="Arial Narrow" w:eastAsia="Arial" w:hAnsi="Arial Narrow" w:cs="Arial"/>
              </w:rPr>
              <w:t>~2010</w:t>
            </w:r>
          </w:p>
        </w:tc>
        <w:tc>
          <w:tcPr>
            <w:tcW w:w="913" w:type="dxa"/>
            <w:tcMar>
              <w:top w:w="60" w:type="dxa"/>
              <w:left w:w="120" w:type="dxa"/>
              <w:bottom w:w="60" w:type="dxa"/>
              <w:right w:w="120" w:type="dxa"/>
            </w:tcMar>
            <w:vAlign w:val="center"/>
          </w:tcPr>
          <w:p w14:paraId="247DE9B8" w14:textId="7BFE9E67" w:rsidR="58CE5B8A" w:rsidRPr="003C67AE" w:rsidRDefault="6310CF7E" w:rsidP="006E3D43">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rPr>
            </w:pPr>
            <w:r w:rsidRPr="003C67AE">
              <w:rPr>
                <w:rFonts w:ascii="Arial Narrow" w:eastAsia="Arial" w:hAnsi="Arial Narrow" w:cs="Arial"/>
              </w:rPr>
              <w:t>~2016</w:t>
            </w:r>
          </w:p>
        </w:tc>
        <w:tc>
          <w:tcPr>
            <w:tcW w:w="852" w:type="dxa"/>
            <w:tcMar>
              <w:top w:w="60" w:type="dxa"/>
              <w:left w:w="120" w:type="dxa"/>
              <w:bottom w:w="60" w:type="dxa"/>
              <w:right w:w="120" w:type="dxa"/>
            </w:tcMar>
            <w:vAlign w:val="center"/>
          </w:tcPr>
          <w:p w14:paraId="158DBA51" w14:textId="744363C1" w:rsidR="58CE5B8A" w:rsidRPr="003C67AE" w:rsidRDefault="6310CF7E" w:rsidP="006E3D43">
            <w:pPr>
              <w:spacing w:line="360" w:lineRule="auto"/>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rPr>
            </w:pPr>
            <w:r w:rsidRPr="003C67AE">
              <w:rPr>
                <w:rFonts w:ascii="Arial Narrow" w:eastAsia="Arial" w:hAnsi="Arial Narrow" w:cs="Arial"/>
              </w:rPr>
              <w:t>2025</w:t>
            </w:r>
          </w:p>
        </w:tc>
        <w:tc>
          <w:tcPr>
            <w:tcW w:w="2148" w:type="dxa"/>
            <w:tcMar>
              <w:top w:w="60" w:type="dxa"/>
              <w:left w:w="120" w:type="dxa"/>
              <w:bottom w:w="60" w:type="dxa"/>
              <w:right w:w="120" w:type="dxa"/>
            </w:tcMar>
            <w:vAlign w:val="center"/>
          </w:tcPr>
          <w:p w14:paraId="796C3EA8" w14:textId="631F1717" w:rsidR="58CE5B8A" w:rsidRPr="003C67AE" w:rsidRDefault="6310CF7E" w:rsidP="006E3D43">
            <w:pPr>
              <w:spacing w:line="360" w:lineRule="auto"/>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rPr>
            </w:pPr>
            <w:r w:rsidRPr="003C67AE">
              <w:rPr>
                <w:rFonts w:ascii="Arial Narrow" w:eastAsia="Arial" w:hAnsi="Arial Narrow" w:cs="Arial"/>
              </w:rPr>
              <w:t>WV-2 / WV-2 / WV-3</w:t>
            </w:r>
          </w:p>
        </w:tc>
      </w:tr>
      <w:tr w:rsidR="58CE5B8A" w:rsidRPr="003C67AE" w14:paraId="7316AD88" w14:textId="77777777" w:rsidTr="006E3D43">
        <w:trPr>
          <w:trHeight w:val="300"/>
        </w:trPr>
        <w:tc>
          <w:tcPr>
            <w:cnfStyle w:val="001000000000" w:firstRow="0" w:lastRow="0" w:firstColumn="1" w:lastColumn="0" w:oddVBand="0" w:evenVBand="0" w:oddHBand="0" w:evenHBand="0" w:firstRowFirstColumn="0" w:firstRowLastColumn="0" w:lastRowFirstColumn="0" w:lastRowLastColumn="0"/>
            <w:tcW w:w="915" w:type="dxa"/>
            <w:tcMar>
              <w:top w:w="60" w:type="dxa"/>
              <w:left w:w="120" w:type="dxa"/>
              <w:bottom w:w="60" w:type="dxa"/>
              <w:right w:w="120" w:type="dxa"/>
            </w:tcMar>
            <w:vAlign w:val="center"/>
          </w:tcPr>
          <w:p w14:paraId="7AFBA1FE" w14:textId="48B539CA" w:rsidR="58CE5B8A" w:rsidRPr="003C67AE" w:rsidRDefault="6310CF7E" w:rsidP="006E3D43">
            <w:pPr>
              <w:spacing w:line="360" w:lineRule="auto"/>
              <w:rPr>
                <w:rFonts w:ascii="Arial Narrow" w:eastAsia="Arial" w:hAnsi="Arial Narrow" w:cs="Arial"/>
              </w:rPr>
            </w:pPr>
            <w:r w:rsidRPr="003C67AE">
              <w:rPr>
                <w:rFonts w:ascii="Arial Narrow" w:eastAsia="Arial" w:hAnsi="Arial Narrow" w:cs="Arial"/>
              </w:rPr>
              <w:t>PNG-2</w:t>
            </w:r>
          </w:p>
        </w:tc>
        <w:tc>
          <w:tcPr>
            <w:tcW w:w="1277" w:type="dxa"/>
            <w:tcMar>
              <w:top w:w="60" w:type="dxa"/>
              <w:left w:w="120" w:type="dxa"/>
              <w:bottom w:w="60" w:type="dxa"/>
              <w:right w:w="120" w:type="dxa"/>
            </w:tcMar>
            <w:vAlign w:val="center"/>
          </w:tcPr>
          <w:p w14:paraId="207C6510" w14:textId="3A8733FD" w:rsidR="58CE5B8A" w:rsidRPr="003C67AE" w:rsidRDefault="6310CF7E" w:rsidP="006E3D43">
            <w:pPr>
              <w:spacing w:line="360" w:lineRule="auto"/>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rPr>
            </w:pPr>
            <w:proofErr w:type="spellStart"/>
            <w:r w:rsidRPr="003C67AE">
              <w:rPr>
                <w:rFonts w:ascii="Arial Narrow" w:eastAsia="Arial" w:hAnsi="Arial Narrow" w:cs="Arial"/>
              </w:rPr>
              <w:t>Taurama</w:t>
            </w:r>
            <w:proofErr w:type="spellEnd"/>
            <w:r w:rsidRPr="003C67AE">
              <w:rPr>
                <w:rFonts w:ascii="Arial Narrow" w:eastAsia="Arial" w:hAnsi="Arial Narrow" w:cs="Arial"/>
              </w:rPr>
              <w:t xml:space="preserve"> Valley</w:t>
            </w:r>
          </w:p>
        </w:tc>
        <w:tc>
          <w:tcPr>
            <w:tcW w:w="1127" w:type="dxa"/>
            <w:tcMar>
              <w:top w:w="60" w:type="dxa"/>
              <w:left w:w="120" w:type="dxa"/>
              <w:bottom w:w="60" w:type="dxa"/>
              <w:right w:w="120" w:type="dxa"/>
            </w:tcMar>
            <w:vAlign w:val="center"/>
          </w:tcPr>
          <w:p w14:paraId="16D766F3" w14:textId="0220250B" w:rsidR="58CE5B8A" w:rsidRPr="003C67AE" w:rsidRDefault="6310CF7E" w:rsidP="006E3D43">
            <w:pPr>
              <w:spacing w:line="360" w:lineRule="auto"/>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rPr>
            </w:pPr>
            <w:r w:rsidRPr="003C67AE">
              <w:rPr>
                <w:rFonts w:ascii="Arial Narrow" w:eastAsia="Arial" w:hAnsi="Arial Narrow" w:cs="Arial"/>
              </w:rPr>
              <w:t>Papua New Guinea</w:t>
            </w:r>
          </w:p>
        </w:tc>
        <w:tc>
          <w:tcPr>
            <w:tcW w:w="1176" w:type="dxa"/>
            <w:tcMar>
              <w:top w:w="60" w:type="dxa"/>
              <w:left w:w="120" w:type="dxa"/>
              <w:bottom w:w="60" w:type="dxa"/>
              <w:right w:w="120" w:type="dxa"/>
            </w:tcMar>
            <w:vAlign w:val="center"/>
          </w:tcPr>
          <w:p w14:paraId="14CB7317" w14:textId="4B4319E5" w:rsidR="58CE5B8A" w:rsidRPr="003C67AE" w:rsidRDefault="6310CF7E" w:rsidP="006E3D43">
            <w:pPr>
              <w:spacing w:line="360" w:lineRule="auto"/>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rPr>
            </w:pPr>
            <w:r w:rsidRPr="003C67AE">
              <w:rPr>
                <w:rFonts w:ascii="Arial Narrow" w:eastAsia="Arial" w:hAnsi="Arial Narrow" w:cs="Arial"/>
              </w:rPr>
              <w:t>Port Moresby</w:t>
            </w:r>
          </w:p>
        </w:tc>
        <w:tc>
          <w:tcPr>
            <w:tcW w:w="932" w:type="dxa"/>
            <w:tcMar>
              <w:top w:w="60" w:type="dxa"/>
              <w:left w:w="120" w:type="dxa"/>
              <w:bottom w:w="60" w:type="dxa"/>
              <w:right w:w="120" w:type="dxa"/>
            </w:tcMar>
            <w:vAlign w:val="center"/>
          </w:tcPr>
          <w:p w14:paraId="5C67FCB0" w14:textId="7BE1F080" w:rsidR="58CE5B8A" w:rsidRPr="003C67AE" w:rsidRDefault="6310CF7E" w:rsidP="006E3D43">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rPr>
            </w:pPr>
            <w:r w:rsidRPr="003C67AE">
              <w:rPr>
                <w:rFonts w:ascii="Arial Narrow" w:eastAsia="Arial" w:hAnsi="Arial Narrow" w:cs="Arial"/>
              </w:rPr>
              <w:t>~2010</w:t>
            </w:r>
          </w:p>
        </w:tc>
        <w:tc>
          <w:tcPr>
            <w:tcW w:w="913" w:type="dxa"/>
            <w:tcMar>
              <w:top w:w="60" w:type="dxa"/>
              <w:left w:w="120" w:type="dxa"/>
              <w:bottom w:w="60" w:type="dxa"/>
              <w:right w:w="120" w:type="dxa"/>
            </w:tcMar>
            <w:vAlign w:val="center"/>
          </w:tcPr>
          <w:p w14:paraId="6BFB76D6" w14:textId="332F13EE" w:rsidR="58CE5B8A" w:rsidRPr="003C67AE" w:rsidRDefault="6310CF7E" w:rsidP="006E3D43">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rPr>
            </w:pPr>
            <w:r w:rsidRPr="003C67AE">
              <w:rPr>
                <w:rFonts w:ascii="Arial Narrow" w:eastAsia="Arial" w:hAnsi="Arial Narrow" w:cs="Arial"/>
              </w:rPr>
              <w:t>~2016</w:t>
            </w:r>
          </w:p>
        </w:tc>
        <w:tc>
          <w:tcPr>
            <w:tcW w:w="852" w:type="dxa"/>
            <w:tcMar>
              <w:top w:w="60" w:type="dxa"/>
              <w:left w:w="120" w:type="dxa"/>
              <w:bottom w:w="60" w:type="dxa"/>
              <w:right w:w="120" w:type="dxa"/>
            </w:tcMar>
            <w:vAlign w:val="center"/>
          </w:tcPr>
          <w:p w14:paraId="2341BAA0" w14:textId="5194487B" w:rsidR="58CE5B8A" w:rsidRPr="003C67AE" w:rsidRDefault="6310CF7E" w:rsidP="006E3D43">
            <w:pPr>
              <w:spacing w:line="360" w:lineRule="auto"/>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rPr>
            </w:pPr>
            <w:r w:rsidRPr="003C67AE">
              <w:rPr>
                <w:rFonts w:ascii="Arial Narrow" w:eastAsia="Arial" w:hAnsi="Arial Narrow" w:cs="Arial"/>
              </w:rPr>
              <w:t>2025</w:t>
            </w:r>
          </w:p>
        </w:tc>
        <w:tc>
          <w:tcPr>
            <w:tcW w:w="2148" w:type="dxa"/>
            <w:tcMar>
              <w:top w:w="60" w:type="dxa"/>
              <w:left w:w="120" w:type="dxa"/>
              <w:bottom w:w="60" w:type="dxa"/>
              <w:right w:w="120" w:type="dxa"/>
            </w:tcMar>
            <w:vAlign w:val="center"/>
          </w:tcPr>
          <w:p w14:paraId="6EFCE7E8" w14:textId="104C90EA" w:rsidR="58CE5B8A" w:rsidRPr="003C67AE" w:rsidRDefault="6310CF7E" w:rsidP="006E3D43">
            <w:pPr>
              <w:spacing w:line="360" w:lineRule="auto"/>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rPr>
            </w:pPr>
            <w:r w:rsidRPr="003C67AE">
              <w:rPr>
                <w:rFonts w:ascii="Arial Narrow" w:eastAsia="Arial" w:hAnsi="Arial Narrow" w:cs="Arial"/>
              </w:rPr>
              <w:t>WV-2 / WV-2 / WV-3</w:t>
            </w:r>
          </w:p>
        </w:tc>
      </w:tr>
      <w:tr w:rsidR="58CE5B8A" w:rsidRPr="003C67AE" w14:paraId="0A7C8B4E" w14:textId="77777777" w:rsidTr="006E3D4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15" w:type="dxa"/>
            <w:tcMar>
              <w:top w:w="60" w:type="dxa"/>
              <w:left w:w="120" w:type="dxa"/>
              <w:bottom w:w="60" w:type="dxa"/>
              <w:right w:w="120" w:type="dxa"/>
            </w:tcMar>
            <w:vAlign w:val="center"/>
          </w:tcPr>
          <w:p w14:paraId="615EBD2A" w14:textId="2531D76F" w:rsidR="58CE5B8A" w:rsidRPr="003C67AE" w:rsidRDefault="6310CF7E" w:rsidP="006E3D43">
            <w:pPr>
              <w:spacing w:line="360" w:lineRule="auto"/>
              <w:rPr>
                <w:rFonts w:ascii="Arial Narrow" w:eastAsia="Arial" w:hAnsi="Arial Narrow" w:cs="Arial"/>
              </w:rPr>
            </w:pPr>
            <w:r w:rsidRPr="003C67AE">
              <w:rPr>
                <w:rFonts w:ascii="Arial Narrow" w:eastAsia="Arial" w:hAnsi="Arial Narrow" w:cs="Arial"/>
              </w:rPr>
              <w:t>SOL-1</w:t>
            </w:r>
          </w:p>
        </w:tc>
        <w:tc>
          <w:tcPr>
            <w:tcW w:w="1277" w:type="dxa"/>
            <w:tcMar>
              <w:top w:w="60" w:type="dxa"/>
              <w:left w:w="120" w:type="dxa"/>
              <w:bottom w:w="60" w:type="dxa"/>
              <w:right w:w="120" w:type="dxa"/>
            </w:tcMar>
            <w:vAlign w:val="center"/>
          </w:tcPr>
          <w:p w14:paraId="1559E7E4" w14:textId="64C09EFE" w:rsidR="58CE5B8A" w:rsidRPr="003C67AE" w:rsidRDefault="6310CF7E" w:rsidP="006E3D43">
            <w:pPr>
              <w:spacing w:line="360" w:lineRule="auto"/>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rPr>
            </w:pPr>
            <w:r w:rsidRPr="003C67AE">
              <w:rPr>
                <w:rFonts w:ascii="Arial Narrow" w:eastAsia="Arial" w:hAnsi="Arial Narrow" w:cs="Arial"/>
              </w:rPr>
              <w:t>White River</w:t>
            </w:r>
          </w:p>
        </w:tc>
        <w:tc>
          <w:tcPr>
            <w:tcW w:w="1127" w:type="dxa"/>
            <w:tcMar>
              <w:top w:w="60" w:type="dxa"/>
              <w:left w:w="120" w:type="dxa"/>
              <w:bottom w:w="60" w:type="dxa"/>
              <w:right w:w="120" w:type="dxa"/>
            </w:tcMar>
            <w:vAlign w:val="center"/>
          </w:tcPr>
          <w:p w14:paraId="4C39E839" w14:textId="1A32D395" w:rsidR="58CE5B8A" w:rsidRPr="003C67AE" w:rsidRDefault="6310CF7E" w:rsidP="006E3D43">
            <w:pPr>
              <w:spacing w:line="360" w:lineRule="auto"/>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rPr>
            </w:pPr>
            <w:r w:rsidRPr="003C67AE">
              <w:rPr>
                <w:rFonts w:ascii="Arial Narrow" w:eastAsia="Arial" w:hAnsi="Arial Narrow" w:cs="Arial"/>
              </w:rPr>
              <w:t>Solomon Islands</w:t>
            </w:r>
          </w:p>
        </w:tc>
        <w:tc>
          <w:tcPr>
            <w:tcW w:w="1176" w:type="dxa"/>
            <w:tcMar>
              <w:top w:w="60" w:type="dxa"/>
              <w:left w:w="120" w:type="dxa"/>
              <w:bottom w:w="60" w:type="dxa"/>
              <w:right w:w="120" w:type="dxa"/>
            </w:tcMar>
            <w:vAlign w:val="center"/>
          </w:tcPr>
          <w:p w14:paraId="56D762D8" w14:textId="3433004C" w:rsidR="58CE5B8A" w:rsidRPr="003C67AE" w:rsidRDefault="6310CF7E" w:rsidP="006E3D43">
            <w:pPr>
              <w:spacing w:line="360" w:lineRule="auto"/>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rPr>
            </w:pPr>
            <w:r w:rsidRPr="003C67AE">
              <w:rPr>
                <w:rFonts w:ascii="Arial Narrow" w:eastAsia="Arial" w:hAnsi="Arial Narrow" w:cs="Arial"/>
              </w:rPr>
              <w:t>Honiara</w:t>
            </w:r>
          </w:p>
        </w:tc>
        <w:tc>
          <w:tcPr>
            <w:tcW w:w="932" w:type="dxa"/>
            <w:tcMar>
              <w:top w:w="60" w:type="dxa"/>
              <w:left w:w="120" w:type="dxa"/>
              <w:bottom w:w="60" w:type="dxa"/>
              <w:right w:w="120" w:type="dxa"/>
            </w:tcMar>
            <w:vAlign w:val="center"/>
          </w:tcPr>
          <w:p w14:paraId="2F411E24" w14:textId="42F6CEB7" w:rsidR="58CE5B8A" w:rsidRPr="003C67AE" w:rsidRDefault="6310CF7E" w:rsidP="006E3D43">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rPr>
            </w:pPr>
            <w:r w:rsidRPr="003C67AE">
              <w:rPr>
                <w:rFonts w:ascii="Arial Narrow" w:eastAsia="Arial" w:hAnsi="Arial Narrow" w:cs="Arial"/>
              </w:rPr>
              <w:t>~2006</w:t>
            </w:r>
          </w:p>
        </w:tc>
        <w:tc>
          <w:tcPr>
            <w:tcW w:w="913" w:type="dxa"/>
            <w:tcMar>
              <w:top w:w="60" w:type="dxa"/>
              <w:left w:w="120" w:type="dxa"/>
              <w:bottom w:w="60" w:type="dxa"/>
              <w:right w:w="120" w:type="dxa"/>
            </w:tcMar>
            <w:vAlign w:val="center"/>
          </w:tcPr>
          <w:p w14:paraId="07413BDD" w14:textId="5E52E8B6" w:rsidR="58CE5B8A" w:rsidRPr="003C67AE" w:rsidRDefault="6310CF7E" w:rsidP="006E3D43">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rPr>
            </w:pPr>
            <w:r w:rsidRPr="003C67AE">
              <w:rPr>
                <w:rFonts w:ascii="Arial Narrow" w:eastAsia="Arial" w:hAnsi="Arial Narrow" w:cs="Arial"/>
              </w:rPr>
              <w:t>~2015</w:t>
            </w:r>
          </w:p>
        </w:tc>
        <w:tc>
          <w:tcPr>
            <w:tcW w:w="852" w:type="dxa"/>
            <w:tcMar>
              <w:top w:w="60" w:type="dxa"/>
              <w:left w:w="120" w:type="dxa"/>
              <w:bottom w:w="60" w:type="dxa"/>
              <w:right w:w="120" w:type="dxa"/>
            </w:tcMar>
            <w:vAlign w:val="center"/>
          </w:tcPr>
          <w:p w14:paraId="5A6D23DF" w14:textId="3CF158CF" w:rsidR="58CE5B8A" w:rsidRPr="003C67AE" w:rsidRDefault="6310CF7E" w:rsidP="006E3D43">
            <w:pPr>
              <w:spacing w:line="360" w:lineRule="auto"/>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rPr>
            </w:pPr>
            <w:r w:rsidRPr="003C67AE">
              <w:rPr>
                <w:rFonts w:ascii="Arial Narrow" w:eastAsia="Arial" w:hAnsi="Arial Narrow" w:cs="Arial"/>
              </w:rPr>
              <w:t>2025</w:t>
            </w:r>
          </w:p>
        </w:tc>
        <w:tc>
          <w:tcPr>
            <w:tcW w:w="2148" w:type="dxa"/>
            <w:tcMar>
              <w:top w:w="60" w:type="dxa"/>
              <w:left w:w="120" w:type="dxa"/>
              <w:bottom w:w="60" w:type="dxa"/>
              <w:right w:w="120" w:type="dxa"/>
            </w:tcMar>
            <w:vAlign w:val="center"/>
          </w:tcPr>
          <w:p w14:paraId="23E99407" w14:textId="662B1D49" w:rsidR="58CE5B8A" w:rsidRPr="003C67AE" w:rsidRDefault="6310CF7E" w:rsidP="006E3D43">
            <w:pPr>
              <w:spacing w:line="360" w:lineRule="auto"/>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rPr>
            </w:pPr>
            <w:r w:rsidRPr="003C67AE">
              <w:rPr>
                <w:rFonts w:ascii="Arial Narrow" w:eastAsia="Arial" w:hAnsi="Arial Narrow" w:cs="Arial"/>
              </w:rPr>
              <w:t>QB-2 / WV-3 / WV-3</w:t>
            </w:r>
          </w:p>
        </w:tc>
      </w:tr>
      <w:tr w:rsidR="58CE5B8A" w:rsidRPr="003C67AE" w14:paraId="770F3140" w14:textId="77777777" w:rsidTr="006E3D43">
        <w:trPr>
          <w:trHeight w:val="300"/>
        </w:trPr>
        <w:tc>
          <w:tcPr>
            <w:cnfStyle w:val="001000000000" w:firstRow="0" w:lastRow="0" w:firstColumn="1" w:lastColumn="0" w:oddVBand="0" w:evenVBand="0" w:oddHBand="0" w:evenHBand="0" w:firstRowFirstColumn="0" w:firstRowLastColumn="0" w:lastRowFirstColumn="0" w:lastRowLastColumn="0"/>
            <w:tcW w:w="915" w:type="dxa"/>
            <w:tcMar>
              <w:top w:w="60" w:type="dxa"/>
              <w:left w:w="120" w:type="dxa"/>
              <w:bottom w:w="60" w:type="dxa"/>
              <w:right w:w="120" w:type="dxa"/>
            </w:tcMar>
            <w:vAlign w:val="center"/>
          </w:tcPr>
          <w:p w14:paraId="6E04C23D" w14:textId="33100FBF" w:rsidR="58CE5B8A" w:rsidRPr="003C67AE" w:rsidRDefault="6310CF7E" w:rsidP="006E3D43">
            <w:pPr>
              <w:spacing w:line="360" w:lineRule="auto"/>
              <w:rPr>
                <w:rFonts w:ascii="Arial Narrow" w:eastAsia="Arial" w:hAnsi="Arial Narrow" w:cs="Arial"/>
              </w:rPr>
            </w:pPr>
            <w:r w:rsidRPr="003C67AE">
              <w:rPr>
                <w:rFonts w:ascii="Arial Narrow" w:eastAsia="Arial" w:hAnsi="Arial Narrow" w:cs="Arial"/>
              </w:rPr>
              <w:t>SOL-2</w:t>
            </w:r>
          </w:p>
        </w:tc>
        <w:tc>
          <w:tcPr>
            <w:tcW w:w="1277" w:type="dxa"/>
            <w:tcMar>
              <w:top w:w="60" w:type="dxa"/>
              <w:left w:w="120" w:type="dxa"/>
              <w:bottom w:w="60" w:type="dxa"/>
              <w:right w:w="120" w:type="dxa"/>
            </w:tcMar>
            <w:vAlign w:val="center"/>
          </w:tcPr>
          <w:p w14:paraId="73515DE0" w14:textId="2493F63D" w:rsidR="58CE5B8A" w:rsidRPr="003C67AE" w:rsidRDefault="6310CF7E" w:rsidP="006E3D43">
            <w:pPr>
              <w:spacing w:line="360" w:lineRule="auto"/>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rPr>
            </w:pPr>
            <w:proofErr w:type="spellStart"/>
            <w:r w:rsidRPr="003C67AE">
              <w:rPr>
                <w:rFonts w:ascii="Arial Narrow" w:eastAsia="Arial" w:hAnsi="Arial Narrow" w:cs="Arial"/>
              </w:rPr>
              <w:t>Mbumburu</w:t>
            </w:r>
            <w:proofErr w:type="spellEnd"/>
          </w:p>
        </w:tc>
        <w:tc>
          <w:tcPr>
            <w:tcW w:w="1127" w:type="dxa"/>
            <w:tcMar>
              <w:top w:w="60" w:type="dxa"/>
              <w:left w:w="120" w:type="dxa"/>
              <w:bottom w:w="60" w:type="dxa"/>
              <w:right w:w="120" w:type="dxa"/>
            </w:tcMar>
            <w:vAlign w:val="center"/>
          </w:tcPr>
          <w:p w14:paraId="7AEFA33B" w14:textId="5FED6FEB" w:rsidR="58CE5B8A" w:rsidRPr="003C67AE" w:rsidRDefault="6310CF7E" w:rsidP="006E3D43">
            <w:pPr>
              <w:spacing w:line="360" w:lineRule="auto"/>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rPr>
            </w:pPr>
            <w:r w:rsidRPr="003C67AE">
              <w:rPr>
                <w:rFonts w:ascii="Arial Narrow" w:eastAsia="Arial" w:hAnsi="Arial Narrow" w:cs="Arial"/>
              </w:rPr>
              <w:t>Solomon Islands</w:t>
            </w:r>
          </w:p>
        </w:tc>
        <w:tc>
          <w:tcPr>
            <w:tcW w:w="1176" w:type="dxa"/>
            <w:tcMar>
              <w:top w:w="60" w:type="dxa"/>
              <w:left w:w="120" w:type="dxa"/>
              <w:bottom w:w="60" w:type="dxa"/>
              <w:right w:w="120" w:type="dxa"/>
            </w:tcMar>
            <w:vAlign w:val="center"/>
          </w:tcPr>
          <w:p w14:paraId="6D4ED79F" w14:textId="2C087F2A" w:rsidR="58CE5B8A" w:rsidRPr="003C67AE" w:rsidRDefault="6310CF7E" w:rsidP="006E3D43">
            <w:pPr>
              <w:spacing w:line="360" w:lineRule="auto"/>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rPr>
            </w:pPr>
            <w:r w:rsidRPr="003C67AE">
              <w:rPr>
                <w:rFonts w:ascii="Arial Narrow" w:eastAsia="Arial" w:hAnsi="Arial Narrow" w:cs="Arial"/>
              </w:rPr>
              <w:t>Honiara</w:t>
            </w:r>
          </w:p>
        </w:tc>
        <w:tc>
          <w:tcPr>
            <w:tcW w:w="932" w:type="dxa"/>
            <w:tcMar>
              <w:top w:w="60" w:type="dxa"/>
              <w:left w:w="120" w:type="dxa"/>
              <w:bottom w:w="60" w:type="dxa"/>
              <w:right w:w="120" w:type="dxa"/>
            </w:tcMar>
            <w:vAlign w:val="center"/>
          </w:tcPr>
          <w:p w14:paraId="5AF54278" w14:textId="01226282" w:rsidR="58CE5B8A" w:rsidRPr="003C67AE" w:rsidRDefault="6310CF7E" w:rsidP="006E3D43">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rPr>
            </w:pPr>
            <w:r w:rsidRPr="003C67AE">
              <w:rPr>
                <w:rFonts w:ascii="Arial Narrow" w:eastAsia="Arial" w:hAnsi="Arial Narrow" w:cs="Arial"/>
              </w:rPr>
              <w:t>~2006</w:t>
            </w:r>
          </w:p>
        </w:tc>
        <w:tc>
          <w:tcPr>
            <w:tcW w:w="913" w:type="dxa"/>
            <w:tcMar>
              <w:top w:w="60" w:type="dxa"/>
              <w:left w:w="120" w:type="dxa"/>
              <w:bottom w:w="60" w:type="dxa"/>
              <w:right w:w="120" w:type="dxa"/>
            </w:tcMar>
            <w:vAlign w:val="center"/>
          </w:tcPr>
          <w:p w14:paraId="3CC72240" w14:textId="1A223668" w:rsidR="58CE5B8A" w:rsidRPr="003C67AE" w:rsidRDefault="6310CF7E" w:rsidP="006E3D43">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rPr>
            </w:pPr>
            <w:r w:rsidRPr="003C67AE">
              <w:rPr>
                <w:rFonts w:ascii="Arial Narrow" w:eastAsia="Arial" w:hAnsi="Arial Narrow" w:cs="Arial"/>
              </w:rPr>
              <w:t>~2015</w:t>
            </w:r>
          </w:p>
        </w:tc>
        <w:tc>
          <w:tcPr>
            <w:tcW w:w="852" w:type="dxa"/>
            <w:tcMar>
              <w:top w:w="60" w:type="dxa"/>
              <w:left w:w="120" w:type="dxa"/>
              <w:bottom w:w="60" w:type="dxa"/>
              <w:right w:w="120" w:type="dxa"/>
            </w:tcMar>
            <w:vAlign w:val="center"/>
          </w:tcPr>
          <w:p w14:paraId="17FC3A7B" w14:textId="2D7DC31D" w:rsidR="58CE5B8A" w:rsidRPr="003C67AE" w:rsidRDefault="6310CF7E" w:rsidP="006E3D43">
            <w:pPr>
              <w:spacing w:line="360" w:lineRule="auto"/>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rPr>
            </w:pPr>
            <w:r w:rsidRPr="003C67AE">
              <w:rPr>
                <w:rFonts w:ascii="Arial Narrow" w:eastAsia="Arial" w:hAnsi="Arial Narrow" w:cs="Arial"/>
              </w:rPr>
              <w:t>2025</w:t>
            </w:r>
          </w:p>
        </w:tc>
        <w:tc>
          <w:tcPr>
            <w:tcW w:w="2148" w:type="dxa"/>
            <w:tcMar>
              <w:top w:w="60" w:type="dxa"/>
              <w:left w:w="120" w:type="dxa"/>
              <w:bottom w:w="60" w:type="dxa"/>
              <w:right w:w="120" w:type="dxa"/>
            </w:tcMar>
            <w:vAlign w:val="center"/>
          </w:tcPr>
          <w:p w14:paraId="1C13DBB0" w14:textId="609523D8" w:rsidR="58CE5B8A" w:rsidRPr="003C67AE" w:rsidRDefault="6310CF7E" w:rsidP="006E3D43">
            <w:pPr>
              <w:spacing w:line="360" w:lineRule="auto"/>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rPr>
            </w:pPr>
            <w:r w:rsidRPr="003C67AE">
              <w:rPr>
                <w:rFonts w:ascii="Arial Narrow" w:eastAsia="Arial" w:hAnsi="Arial Narrow" w:cs="Arial"/>
              </w:rPr>
              <w:t>QB-2 / WV-3 / WV-3</w:t>
            </w:r>
          </w:p>
        </w:tc>
      </w:tr>
      <w:tr w:rsidR="58CE5B8A" w:rsidRPr="003C67AE" w14:paraId="594813E2" w14:textId="77777777" w:rsidTr="006E3D4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15" w:type="dxa"/>
            <w:tcMar>
              <w:top w:w="60" w:type="dxa"/>
              <w:left w:w="120" w:type="dxa"/>
              <w:bottom w:w="60" w:type="dxa"/>
              <w:right w:w="120" w:type="dxa"/>
            </w:tcMar>
            <w:vAlign w:val="center"/>
          </w:tcPr>
          <w:p w14:paraId="596DD393" w14:textId="660E05E4" w:rsidR="58CE5B8A" w:rsidRPr="003C67AE" w:rsidRDefault="6310CF7E" w:rsidP="006E3D43">
            <w:pPr>
              <w:spacing w:line="360" w:lineRule="auto"/>
              <w:rPr>
                <w:rFonts w:ascii="Arial Narrow" w:eastAsia="Arial" w:hAnsi="Arial Narrow" w:cs="Arial"/>
              </w:rPr>
            </w:pPr>
            <w:r w:rsidRPr="003C67AE">
              <w:rPr>
                <w:rFonts w:ascii="Arial Narrow" w:eastAsia="Arial" w:hAnsi="Arial Narrow" w:cs="Arial"/>
              </w:rPr>
              <w:t>FIJ-1</w:t>
            </w:r>
          </w:p>
        </w:tc>
        <w:tc>
          <w:tcPr>
            <w:tcW w:w="1277" w:type="dxa"/>
            <w:tcMar>
              <w:top w:w="60" w:type="dxa"/>
              <w:left w:w="120" w:type="dxa"/>
              <w:bottom w:w="60" w:type="dxa"/>
              <w:right w:w="120" w:type="dxa"/>
            </w:tcMar>
            <w:vAlign w:val="center"/>
          </w:tcPr>
          <w:p w14:paraId="3B603502" w14:textId="52A2273D" w:rsidR="58CE5B8A" w:rsidRPr="003C67AE" w:rsidRDefault="6310CF7E" w:rsidP="006E3D43">
            <w:pPr>
              <w:spacing w:line="360" w:lineRule="auto"/>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rPr>
            </w:pPr>
            <w:r w:rsidRPr="003C67AE">
              <w:rPr>
                <w:rFonts w:ascii="Arial Narrow" w:eastAsia="Arial" w:hAnsi="Arial Narrow" w:cs="Arial"/>
              </w:rPr>
              <w:t>Tacirua</w:t>
            </w:r>
          </w:p>
        </w:tc>
        <w:tc>
          <w:tcPr>
            <w:tcW w:w="1127" w:type="dxa"/>
            <w:tcMar>
              <w:top w:w="60" w:type="dxa"/>
              <w:left w:w="120" w:type="dxa"/>
              <w:bottom w:w="60" w:type="dxa"/>
              <w:right w:w="120" w:type="dxa"/>
            </w:tcMar>
            <w:vAlign w:val="center"/>
          </w:tcPr>
          <w:p w14:paraId="14C2DE95" w14:textId="48CA7F87" w:rsidR="58CE5B8A" w:rsidRPr="003C67AE" w:rsidRDefault="6310CF7E" w:rsidP="006E3D43">
            <w:pPr>
              <w:spacing w:line="360" w:lineRule="auto"/>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rPr>
            </w:pPr>
            <w:r w:rsidRPr="003C67AE">
              <w:rPr>
                <w:rFonts w:ascii="Arial Narrow" w:eastAsia="Arial" w:hAnsi="Arial Narrow" w:cs="Arial"/>
              </w:rPr>
              <w:t>Fiji</w:t>
            </w:r>
          </w:p>
        </w:tc>
        <w:tc>
          <w:tcPr>
            <w:tcW w:w="1176" w:type="dxa"/>
            <w:tcMar>
              <w:top w:w="60" w:type="dxa"/>
              <w:left w:w="120" w:type="dxa"/>
              <w:bottom w:w="60" w:type="dxa"/>
              <w:right w:w="120" w:type="dxa"/>
            </w:tcMar>
            <w:vAlign w:val="center"/>
          </w:tcPr>
          <w:p w14:paraId="79931E0D" w14:textId="2AB27E44" w:rsidR="58CE5B8A" w:rsidRPr="003C67AE" w:rsidRDefault="6310CF7E" w:rsidP="006E3D43">
            <w:pPr>
              <w:spacing w:line="360" w:lineRule="auto"/>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rPr>
            </w:pPr>
            <w:r w:rsidRPr="003C67AE">
              <w:rPr>
                <w:rFonts w:ascii="Arial Narrow" w:eastAsia="Arial" w:hAnsi="Arial Narrow" w:cs="Arial"/>
              </w:rPr>
              <w:t>Greater Suva</w:t>
            </w:r>
          </w:p>
        </w:tc>
        <w:tc>
          <w:tcPr>
            <w:tcW w:w="932" w:type="dxa"/>
            <w:tcMar>
              <w:top w:w="60" w:type="dxa"/>
              <w:left w:w="120" w:type="dxa"/>
              <w:bottom w:w="60" w:type="dxa"/>
              <w:right w:w="120" w:type="dxa"/>
            </w:tcMar>
            <w:vAlign w:val="center"/>
          </w:tcPr>
          <w:p w14:paraId="6ACD0950" w14:textId="5BE7B42D" w:rsidR="58CE5B8A" w:rsidRPr="003C67AE" w:rsidRDefault="6310CF7E" w:rsidP="006E3D43">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rPr>
            </w:pPr>
            <w:r w:rsidRPr="003C67AE">
              <w:rPr>
                <w:rFonts w:ascii="Arial Narrow" w:eastAsia="Arial" w:hAnsi="Arial Narrow" w:cs="Arial"/>
              </w:rPr>
              <w:t>~2009</w:t>
            </w:r>
          </w:p>
        </w:tc>
        <w:tc>
          <w:tcPr>
            <w:tcW w:w="913" w:type="dxa"/>
            <w:tcMar>
              <w:top w:w="60" w:type="dxa"/>
              <w:left w:w="120" w:type="dxa"/>
              <w:bottom w:w="60" w:type="dxa"/>
              <w:right w:w="120" w:type="dxa"/>
            </w:tcMar>
            <w:vAlign w:val="center"/>
          </w:tcPr>
          <w:p w14:paraId="2E8951C4" w14:textId="457A1AF0" w:rsidR="58CE5B8A" w:rsidRPr="003C67AE" w:rsidRDefault="6310CF7E" w:rsidP="006E3D43">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rPr>
            </w:pPr>
            <w:r w:rsidRPr="003C67AE">
              <w:rPr>
                <w:rFonts w:ascii="Arial Narrow" w:eastAsia="Arial" w:hAnsi="Arial Narrow" w:cs="Arial"/>
              </w:rPr>
              <w:t>~2014</w:t>
            </w:r>
          </w:p>
        </w:tc>
        <w:tc>
          <w:tcPr>
            <w:tcW w:w="852" w:type="dxa"/>
            <w:tcMar>
              <w:top w:w="60" w:type="dxa"/>
              <w:left w:w="120" w:type="dxa"/>
              <w:bottom w:w="60" w:type="dxa"/>
              <w:right w:w="120" w:type="dxa"/>
            </w:tcMar>
            <w:vAlign w:val="center"/>
          </w:tcPr>
          <w:p w14:paraId="30FF9850" w14:textId="2FFF0622" w:rsidR="58CE5B8A" w:rsidRPr="003C67AE" w:rsidRDefault="6310CF7E" w:rsidP="006E3D43">
            <w:pPr>
              <w:spacing w:line="360" w:lineRule="auto"/>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rPr>
            </w:pPr>
            <w:r w:rsidRPr="003C67AE">
              <w:rPr>
                <w:rFonts w:ascii="Arial Narrow" w:eastAsia="Arial" w:hAnsi="Arial Narrow" w:cs="Arial"/>
              </w:rPr>
              <w:t>2025</w:t>
            </w:r>
          </w:p>
        </w:tc>
        <w:tc>
          <w:tcPr>
            <w:tcW w:w="2148" w:type="dxa"/>
            <w:tcMar>
              <w:top w:w="60" w:type="dxa"/>
              <w:left w:w="120" w:type="dxa"/>
              <w:bottom w:w="60" w:type="dxa"/>
              <w:right w:w="120" w:type="dxa"/>
            </w:tcMar>
            <w:vAlign w:val="center"/>
          </w:tcPr>
          <w:p w14:paraId="46D265AD" w14:textId="1D8F6ECE" w:rsidR="58CE5B8A" w:rsidRPr="003C67AE" w:rsidRDefault="6310CF7E" w:rsidP="006E3D43">
            <w:pPr>
              <w:spacing w:line="360" w:lineRule="auto"/>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rPr>
            </w:pPr>
            <w:r w:rsidRPr="003C67AE">
              <w:rPr>
                <w:rFonts w:ascii="Arial Narrow" w:eastAsia="Arial" w:hAnsi="Arial Narrow" w:cs="Arial"/>
              </w:rPr>
              <w:t>QB-2 / WV-2 / WV-3</w:t>
            </w:r>
          </w:p>
        </w:tc>
      </w:tr>
      <w:tr w:rsidR="58CE5B8A" w:rsidRPr="003C67AE" w14:paraId="3245A9A0" w14:textId="77777777" w:rsidTr="006E3D43">
        <w:trPr>
          <w:trHeight w:val="843"/>
        </w:trPr>
        <w:tc>
          <w:tcPr>
            <w:cnfStyle w:val="001000000000" w:firstRow="0" w:lastRow="0" w:firstColumn="1" w:lastColumn="0" w:oddVBand="0" w:evenVBand="0" w:oddHBand="0" w:evenHBand="0" w:firstRowFirstColumn="0" w:firstRowLastColumn="0" w:lastRowFirstColumn="0" w:lastRowLastColumn="0"/>
            <w:tcW w:w="915" w:type="dxa"/>
            <w:tcMar>
              <w:top w:w="60" w:type="dxa"/>
              <w:left w:w="120" w:type="dxa"/>
              <w:bottom w:w="60" w:type="dxa"/>
              <w:right w:w="120" w:type="dxa"/>
            </w:tcMar>
            <w:vAlign w:val="center"/>
          </w:tcPr>
          <w:p w14:paraId="4CBF5DBE" w14:textId="4C8D02CA" w:rsidR="58CE5B8A" w:rsidRPr="003C67AE" w:rsidRDefault="6310CF7E" w:rsidP="006E3D43">
            <w:pPr>
              <w:spacing w:line="360" w:lineRule="auto"/>
              <w:rPr>
                <w:rFonts w:ascii="Arial Narrow" w:eastAsia="Arial" w:hAnsi="Arial Narrow" w:cs="Arial"/>
              </w:rPr>
            </w:pPr>
            <w:r w:rsidRPr="003C67AE">
              <w:rPr>
                <w:rFonts w:ascii="Arial Narrow" w:eastAsia="Arial" w:hAnsi="Arial Narrow" w:cs="Arial"/>
              </w:rPr>
              <w:t>FIJ-2</w:t>
            </w:r>
          </w:p>
        </w:tc>
        <w:tc>
          <w:tcPr>
            <w:tcW w:w="1277" w:type="dxa"/>
            <w:tcMar>
              <w:top w:w="60" w:type="dxa"/>
              <w:left w:w="120" w:type="dxa"/>
              <w:bottom w:w="60" w:type="dxa"/>
              <w:right w:w="120" w:type="dxa"/>
            </w:tcMar>
            <w:vAlign w:val="center"/>
          </w:tcPr>
          <w:p w14:paraId="0E481934" w14:textId="05E10A03" w:rsidR="58CE5B8A" w:rsidRPr="003C67AE" w:rsidRDefault="6310CF7E" w:rsidP="006E3D43">
            <w:pPr>
              <w:spacing w:line="360" w:lineRule="auto"/>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rPr>
            </w:pPr>
            <w:r w:rsidRPr="003C67AE">
              <w:rPr>
                <w:rFonts w:ascii="Arial Narrow" w:eastAsia="Arial" w:hAnsi="Arial Narrow" w:cs="Arial"/>
              </w:rPr>
              <w:t>Wailekutu</w:t>
            </w:r>
          </w:p>
        </w:tc>
        <w:tc>
          <w:tcPr>
            <w:tcW w:w="1127" w:type="dxa"/>
            <w:tcMar>
              <w:top w:w="60" w:type="dxa"/>
              <w:left w:w="120" w:type="dxa"/>
              <w:bottom w:w="60" w:type="dxa"/>
              <w:right w:w="120" w:type="dxa"/>
            </w:tcMar>
            <w:vAlign w:val="center"/>
          </w:tcPr>
          <w:p w14:paraId="198FE0E2" w14:textId="45C23375" w:rsidR="58CE5B8A" w:rsidRPr="003C67AE" w:rsidRDefault="6310CF7E" w:rsidP="006E3D43">
            <w:pPr>
              <w:spacing w:line="360" w:lineRule="auto"/>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rPr>
            </w:pPr>
            <w:r w:rsidRPr="003C67AE">
              <w:rPr>
                <w:rFonts w:ascii="Arial Narrow" w:eastAsia="Arial" w:hAnsi="Arial Narrow" w:cs="Arial"/>
              </w:rPr>
              <w:t>Fiji</w:t>
            </w:r>
          </w:p>
        </w:tc>
        <w:tc>
          <w:tcPr>
            <w:tcW w:w="1176" w:type="dxa"/>
            <w:tcMar>
              <w:top w:w="60" w:type="dxa"/>
              <w:left w:w="120" w:type="dxa"/>
              <w:bottom w:w="60" w:type="dxa"/>
              <w:right w:w="120" w:type="dxa"/>
            </w:tcMar>
            <w:vAlign w:val="center"/>
          </w:tcPr>
          <w:p w14:paraId="37960004" w14:textId="6C985BA8" w:rsidR="58CE5B8A" w:rsidRPr="003C67AE" w:rsidRDefault="6310CF7E" w:rsidP="006E3D43">
            <w:pPr>
              <w:spacing w:line="360" w:lineRule="auto"/>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rPr>
            </w:pPr>
            <w:r w:rsidRPr="003C67AE">
              <w:rPr>
                <w:rFonts w:ascii="Arial Narrow" w:eastAsia="Arial" w:hAnsi="Arial Narrow" w:cs="Arial"/>
              </w:rPr>
              <w:t>Greater Suva</w:t>
            </w:r>
          </w:p>
        </w:tc>
        <w:tc>
          <w:tcPr>
            <w:tcW w:w="932" w:type="dxa"/>
            <w:tcMar>
              <w:top w:w="60" w:type="dxa"/>
              <w:left w:w="120" w:type="dxa"/>
              <w:bottom w:w="60" w:type="dxa"/>
              <w:right w:w="120" w:type="dxa"/>
            </w:tcMar>
            <w:vAlign w:val="center"/>
          </w:tcPr>
          <w:p w14:paraId="54A487AC" w14:textId="4BDF4AD0" w:rsidR="58CE5B8A" w:rsidRPr="003C67AE" w:rsidRDefault="6310CF7E" w:rsidP="006E3D43">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rPr>
            </w:pPr>
            <w:r w:rsidRPr="003C67AE">
              <w:rPr>
                <w:rFonts w:ascii="Arial Narrow" w:eastAsia="Arial" w:hAnsi="Arial Narrow" w:cs="Arial"/>
              </w:rPr>
              <w:t>~2009</w:t>
            </w:r>
          </w:p>
        </w:tc>
        <w:tc>
          <w:tcPr>
            <w:tcW w:w="913" w:type="dxa"/>
            <w:tcMar>
              <w:top w:w="60" w:type="dxa"/>
              <w:left w:w="120" w:type="dxa"/>
              <w:bottom w:w="60" w:type="dxa"/>
              <w:right w:w="120" w:type="dxa"/>
            </w:tcMar>
            <w:vAlign w:val="center"/>
          </w:tcPr>
          <w:p w14:paraId="5B036314" w14:textId="7D176359" w:rsidR="58CE5B8A" w:rsidRPr="003C67AE" w:rsidRDefault="6310CF7E" w:rsidP="006E3D43">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rPr>
            </w:pPr>
            <w:r w:rsidRPr="003C67AE">
              <w:rPr>
                <w:rFonts w:ascii="Arial Narrow" w:eastAsia="Arial" w:hAnsi="Arial Narrow" w:cs="Arial"/>
              </w:rPr>
              <w:t>~2014</w:t>
            </w:r>
          </w:p>
        </w:tc>
        <w:tc>
          <w:tcPr>
            <w:tcW w:w="852" w:type="dxa"/>
            <w:tcMar>
              <w:top w:w="60" w:type="dxa"/>
              <w:left w:w="120" w:type="dxa"/>
              <w:bottom w:w="60" w:type="dxa"/>
              <w:right w:w="120" w:type="dxa"/>
            </w:tcMar>
            <w:vAlign w:val="center"/>
          </w:tcPr>
          <w:p w14:paraId="411AEFCC" w14:textId="15BA30DA" w:rsidR="58CE5B8A" w:rsidRPr="003C67AE" w:rsidRDefault="6310CF7E" w:rsidP="006E3D43">
            <w:pPr>
              <w:spacing w:line="360" w:lineRule="auto"/>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rPr>
            </w:pPr>
            <w:r w:rsidRPr="003C67AE">
              <w:rPr>
                <w:rFonts w:ascii="Arial Narrow" w:eastAsia="Arial" w:hAnsi="Arial Narrow" w:cs="Arial"/>
              </w:rPr>
              <w:t>2025</w:t>
            </w:r>
          </w:p>
        </w:tc>
        <w:tc>
          <w:tcPr>
            <w:tcW w:w="2148" w:type="dxa"/>
            <w:tcMar>
              <w:top w:w="60" w:type="dxa"/>
              <w:left w:w="120" w:type="dxa"/>
              <w:bottom w:w="60" w:type="dxa"/>
              <w:right w:w="120" w:type="dxa"/>
            </w:tcMar>
            <w:vAlign w:val="center"/>
          </w:tcPr>
          <w:p w14:paraId="4914EA21" w14:textId="010E236C" w:rsidR="58CE5B8A" w:rsidRPr="003C67AE" w:rsidRDefault="6310CF7E" w:rsidP="006E3D43">
            <w:pPr>
              <w:spacing w:line="360" w:lineRule="auto"/>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rPr>
            </w:pPr>
            <w:r w:rsidRPr="003C67AE">
              <w:rPr>
                <w:rFonts w:ascii="Arial Narrow" w:eastAsia="Arial" w:hAnsi="Arial Narrow" w:cs="Arial"/>
              </w:rPr>
              <w:t>QB-2 / WV-2 / WV-3</w:t>
            </w:r>
          </w:p>
        </w:tc>
      </w:tr>
    </w:tbl>
    <w:p w14:paraId="39424F26" w14:textId="1A02B92B" w:rsidR="4C08ADAF" w:rsidRPr="003C67AE" w:rsidRDefault="4C08ADAF" w:rsidP="4C08ADAF">
      <w:pPr>
        <w:pStyle w:val="BodyText"/>
        <w:ind w:firstLine="0"/>
        <w:rPr>
          <w:rFonts w:ascii="Arial Narrow" w:eastAsia="Arial" w:hAnsi="Arial Narrow" w:cs="Arial"/>
        </w:rPr>
      </w:pPr>
    </w:p>
    <w:p w14:paraId="6C38E2C9" w14:textId="23367425" w:rsidR="79574975" w:rsidRDefault="79574975" w:rsidP="006E3D43">
      <w:pPr>
        <w:pStyle w:val="BodyText"/>
        <w:ind w:firstLine="0"/>
        <w:rPr>
          <w:rFonts w:ascii="Arial" w:eastAsia="Arial" w:hAnsi="Arial" w:cs="Arial"/>
          <w:b/>
          <w:bCs/>
        </w:rPr>
      </w:pPr>
      <w:r w:rsidRPr="006E3D43">
        <w:rPr>
          <w:rFonts w:ascii="Arial" w:eastAsia="Arial" w:hAnsi="Arial" w:cs="Arial"/>
          <w:b/>
          <w:bCs/>
        </w:rPr>
        <w:t>Data and Imagery</w:t>
      </w:r>
    </w:p>
    <w:p w14:paraId="5ECE6A9F" w14:textId="72F347DA" w:rsidR="2C7FFE03" w:rsidRPr="006E3D43" w:rsidRDefault="2C7FFE03" w:rsidP="006E3D43">
      <w:pPr>
        <w:pStyle w:val="Head3"/>
        <w:rPr>
          <w:b w:val="0"/>
        </w:rPr>
      </w:pPr>
      <w:bookmarkStart w:id="58" w:name="_Toc228290447"/>
      <w:r w:rsidRPr="006E3D43">
        <w:t>Satellite Imagery Sources</w:t>
      </w:r>
      <w:bookmarkEnd w:id="58"/>
    </w:p>
    <w:p w14:paraId="4F284DE5" w14:textId="21BD71DC" w:rsidR="2C7FFE03" w:rsidRPr="006E3D43" w:rsidRDefault="65677826" w:rsidP="006E3D43">
      <w:pPr>
        <w:spacing w:after="120"/>
        <w:ind w:firstLine="720"/>
        <w:jc w:val="both"/>
        <w:rPr>
          <w:rFonts w:eastAsia="Times New Roman" w:cs="Times New Roman"/>
        </w:rPr>
      </w:pPr>
      <w:r w:rsidRPr="006E3D43">
        <w:rPr>
          <w:rFonts w:eastAsia="Times New Roman" w:cs="Times New Roman"/>
        </w:rPr>
        <w:t xml:space="preserve">Three commercial VHR sensor platforms were used across the three temporal epochs. QuickBird-2 imagery was used for the earliest epoch (~2005/2009/2010), WorldView-2 for the intermediate epoch (~2015/2014/2016), and WorldView-3 for the most recent epoch (2025) at all sites. </w:t>
      </w:r>
      <w:r w:rsidR="00490460">
        <w:rPr>
          <w:rFonts w:eastAsia="Times New Roman" w:cs="Times New Roman"/>
        </w:rPr>
        <w:fldChar w:fldCharType="begin"/>
      </w:r>
      <w:r w:rsidR="00490460">
        <w:rPr>
          <w:rFonts w:eastAsia="Times New Roman" w:cs="Times New Roman"/>
        </w:rPr>
        <w:instrText xml:space="preserve"> REF _Ref227325469 \h </w:instrText>
      </w:r>
      <w:r w:rsidR="00490460">
        <w:rPr>
          <w:rFonts w:eastAsia="Times New Roman" w:cs="Times New Roman"/>
        </w:rPr>
      </w:r>
      <w:r w:rsidR="00490460">
        <w:rPr>
          <w:rFonts w:eastAsia="Times New Roman" w:cs="Times New Roman"/>
        </w:rPr>
        <w:fldChar w:fldCharType="separate"/>
      </w:r>
      <w:r w:rsidR="00490460">
        <w:t xml:space="preserve">Table </w:t>
      </w:r>
      <w:r w:rsidR="00490460">
        <w:rPr>
          <w:noProof/>
        </w:rPr>
        <w:t>4</w:t>
      </w:r>
      <w:r w:rsidR="00490460">
        <w:rPr>
          <w:rFonts w:eastAsia="Times New Roman" w:cs="Times New Roman"/>
        </w:rPr>
        <w:fldChar w:fldCharType="end"/>
      </w:r>
      <w:r w:rsidRPr="006E3D43">
        <w:rPr>
          <w:rFonts w:eastAsia="Times New Roman" w:cs="Times New Roman"/>
        </w:rPr>
        <w:t xml:space="preserve"> summari</w:t>
      </w:r>
      <w:r w:rsidR="55260DE3" w:rsidRPr="68F659C6">
        <w:rPr>
          <w:rFonts w:eastAsia="Times New Roman" w:cs="Times New Roman"/>
        </w:rPr>
        <w:t>z</w:t>
      </w:r>
      <w:r w:rsidRPr="006E3D43">
        <w:rPr>
          <w:rFonts w:eastAsia="Times New Roman" w:cs="Times New Roman"/>
        </w:rPr>
        <w:t>es the spatial resolution specifications of each sensor.</w:t>
      </w:r>
    </w:p>
    <w:p w14:paraId="275011D3" w14:textId="11347F1A" w:rsidR="6CDCE97B" w:rsidRPr="003C67AE" w:rsidRDefault="00490460" w:rsidP="006E3D43">
      <w:pPr>
        <w:pStyle w:val="Caption"/>
        <w:rPr>
          <w:rFonts w:ascii="Arial Narrow" w:hAnsi="Arial Narrow"/>
          <w:i/>
          <w:color w:val="BFBFBF" w:themeColor="background1" w:themeShade="BF"/>
          <w:szCs w:val="24"/>
        </w:rPr>
      </w:pPr>
      <w:bookmarkStart w:id="59" w:name="_Ref227325469"/>
      <w:bookmarkStart w:id="60" w:name="_Toc228290771"/>
      <w:r w:rsidRPr="003C67AE">
        <w:rPr>
          <w:rFonts w:ascii="Arial Narrow" w:hAnsi="Arial Narrow"/>
          <w:szCs w:val="24"/>
        </w:rPr>
        <w:t xml:space="preserve">Table </w:t>
      </w:r>
      <w:r w:rsidRPr="003C67AE">
        <w:rPr>
          <w:rFonts w:ascii="Arial Narrow" w:hAnsi="Arial Narrow"/>
          <w:szCs w:val="24"/>
        </w:rPr>
        <w:fldChar w:fldCharType="begin"/>
      </w:r>
      <w:r w:rsidRPr="003C67AE">
        <w:rPr>
          <w:rFonts w:ascii="Arial Narrow" w:hAnsi="Arial Narrow"/>
          <w:szCs w:val="24"/>
        </w:rPr>
        <w:instrText xml:space="preserve"> SEQ Table \* ARABIC </w:instrText>
      </w:r>
      <w:r w:rsidRPr="003C67AE">
        <w:rPr>
          <w:rFonts w:ascii="Arial Narrow" w:hAnsi="Arial Narrow"/>
          <w:szCs w:val="24"/>
        </w:rPr>
        <w:fldChar w:fldCharType="separate"/>
      </w:r>
      <w:r w:rsidR="00F666F9" w:rsidRPr="003C67AE">
        <w:rPr>
          <w:rFonts w:ascii="Arial Narrow" w:hAnsi="Arial Narrow"/>
          <w:noProof/>
          <w:szCs w:val="24"/>
        </w:rPr>
        <w:t>4</w:t>
      </w:r>
      <w:r w:rsidRPr="003C67AE">
        <w:rPr>
          <w:rFonts w:ascii="Arial Narrow" w:hAnsi="Arial Narrow"/>
          <w:szCs w:val="24"/>
        </w:rPr>
        <w:fldChar w:fldCharType="end"/>
      </w:r>
      <w:bookmarkEnd w:id="59"/>
      <w:r w:rsidRPr="003C67AE">
        <w:rPr>
          <w:rFonts w:ascii="Arial Narrow" w:hAnsi="Arial Narrow"/>
          <w:szCs w:val="24"/>
        </w:rPr>
        <w:t>. Spatial resolution specifications for the three VHR sensor platforms used in this study</w:t>
      </w:r>
      <w:bookmarkEnd w:id="60"/>
      <w:r w:rsidR="4E41BE60" w:rsidRPr="003C67AE">
        <w:rPr>
          <w:rFonts w:ascii="Arial Narrow" w:eastAsiaTheme="minorHAnsi" w:hAnsi="Arial Narrow" w:cstheme="minorBidi"/>
          <w:b/>
          <w:bCs/>
          <w:i/>
          <w:iCs w:val="0"/>
          <w:szCs w:val="24"/>
        </w:rPr>
        <w:t xml:space="preserve"> </w:t>
      </w:r>
    </w:p>
    <w:tbl>
      <w:tblPr>
        <w:tblStyle w:val="PlainTable1"/>
        <w:tblW w:w="0" w:type="auto"/>
        <w:tblLook w:val="04A0" w:firstRow="1" w:lastRow="0" w:firstColumn="1" w:lastColumn="0" w:noHBand="0" w:noVBand="1"/>
      </w:tblPr>
      <w:tblGrid>
        <w:gridCol w:w="1686"/>
        <w:gridCol w:w="1647"/>
        <w:gridCol w:w="1619"/>
        <w:gridCol w:w="2295"/>
        <w:gridCol w:w="2093"/>
        <w:gridCol w:w="10"/>
      </w:tblGrid>
      <w:tr w:rsidR="31E4B92B" w:rsidRPr="003C67AE" w14:paraId="1D6E7D9B" w14:textId="77777777" w:rsidTr="006E3D43">
        <w:trPr>
          <w:gridAfter w:val="1"/>
          <w:cnfStyle w:val="100000000000" w:firstRow="1" w:lastRow="0" w:firstColumn="0" w:lastColumn="0" w:oddVBand="0" w:evenVBand="0" w:oddHBand="0" w:evenHBand="0" w:firstRowFirstColumn="0" w:firstRowLastColumn="0" w:lastRowFirstColumn="0" w:lastRowLastColumn="0"/>
          <w:wAfter w:w="10" w:type="dxa"/>
          <w:trHeight w:val="300"/>
        </w:trPr>
        <w:tc>
          <w:tcPr>
            <w:cnfStyle w:val="001000000000" w:firstRow="0" w:lastRow="0" w:firstColumn="1" w:lastColumn="0" w:oddVBand="0" w:evenVBand="0" w:oddHBand="0" w:evenHBand="0" w:firstRowFirstColumn="0" w:firstRowLastColumn="0" w:lastRowFirstColumn="0" w:lastRowLastColumn="0"/>
            <w:tcW w:w="1688" w:type="dxa"/>
            <w:tcMar>
              <w:top w:w="80" w:type="dxa"/>
              <w:left w:w="120" w:type="dxa"/>
              <w:bottom w:w="80" w:type="dxa"/>
              <w:right w:w="120" w:type="dxa"/>
            </w:tcMar>
            <w:vAlign w:val="center"/>
          </w:tcPr>
          <w:p w14:paraId="6B6B7213" w14:textId="72C93BBA" w:rsidR="31E4B92B" w:rsidRPr="003C67AE" w:rsidRDefault="78A837CE" w:rsidP="006E3D43">
            <w:pPr>
              <w:spacing w:line="360" w:lineRule="auto"/>
              <w:jc w:val="center"/>
              <w:rPr>
                <w:rFonts w:ascii="Arial Narrow" w:eastAsia="Arial" w:hAnsi="Arial Narrow" w:cs="Arial"/>
                <w:color w:val="FFFFFF" w:themeColor="background1"/>
              </w:rPr>
            </w:pPr>
            <w:r w:rsidRPr="003C67AE">
              <w:rPr>
                <w:rFonts w:ascii="Arial Narrow" w:eastAsia="Arial" w:hAnsi="Arial Narrow" w:cs="Arial"/>
              </w:rPr>
              <w:lastRenderedPageBreak/>
              <w:t>Sensor</w:t>
            </w:r>
          </w:p>
        </w:tc>
        <w:tc>
          <w:tcPr>
            <w:tcW w:w="1648" w:type="dxa"/>
            <w:tcMar>
              <w:top w:w="80" w:type="dxa"/>
              <w:left w:w="120" w:type="dxa"/>
              <w:bottom w:w="80" w:type="dxa"/>
              <w:right w:w="120" w:type="dxa"/>
            </w:tcMar>
            <w:vAlign w:val="center"/>
          </w:tcPr>
          <w:p w14:paraId="48D8E027" w14:textId="2F28916F" w:rsidR="31E4B92B" w:rsidRPr="003C67AE" w:rsidRDefault="78A837CE" w:rsidP="006E3D43">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Narrow" w:eastAsia="Arial" w:hAnsi="Arial Narrow" w:cs="Arial"/>
                <w:b w:val="0"/>
                <w:bCs w:val="0"/>
                <w:color w:val="FFFFFF" w:themeColor="background1"/>
              </w:rPr>
            </w:pPr>
            <w:r w:rsidRPr="003C67AE">
              <w:rPr>
                <w:rFonts w:ascii="Arial Narrow" w:eastAsia="Arial" w:hAnsi="Arial Narrow" w:cs="Arial"/>
              </w:rPr>
              <w:t>Panchromatic (m)</w:t>
            </w:r>
          </w:p>
        </w:tc>
        <w:tc>
          <w:tcPr>
            <w:tcW w:w="1620" w:type="dxa"/>
            <w:tcMar>
              <w:top w:w="80" w:type="dxa"/>
              <w:left w:w="120" w:type="dxa"/>
              <w:bottom w:w="80" w:type="dxa"/>
              <w:right w:w="120" w:type="dxa"/>
            </w:tcMar>
            <w:vAlign w:val="center"/>
          </w:tcPr>
          <w:p w14:paraId="24CA7B7A" w14:textId="7DB01FD7" w:rsidR="31E4B92B" w:rsidRPr="003C67AE" w:rsidRDefault="78A837CE" w:rsidP="006E3D43">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Narrow" w:eastAsia="Arial" w:hAnsi="Arial Narrow" w:cs="Arial"/>
                <w:b w:val="0"/>
                <w:bCs w:val="0"/>
                <w:color w:val="FFFFFF" w:themeColor="background1"/>
              </w:rPr>
            </w:pPr>
            <w:r w:rsidRPr="003C67AE">
              <w:rPr>
                <w:rFonts w:ascii="Arial Narrow" w:eastAsia="Arial" w:hAnsi="Arial Narrow" w:cs="Arial"/>
              </w:rPr>
              <w:t>Multispectral (m)</w:t>
            </w:r>
          </w:p>
        </w:tc>
        <w:tc>
          <w:tcPr>
            <w:tcW w:w="2303" w:type="dxa"/>
            <w:tcMar>
              <w:top w:w="80" w:type="dxa"/>
              <w:left w:w="120" w:type="dxa"/>
              <w:bottom w:w="80" w:type="dxa"/>
              <w:right w:w="120" w:type="dxa"/>
            </w:tcMar>
            <w:vAlign w:val="center"/>
          </w:tcPr>
          <w:p w14:paraId="357F3D76" w14:textId="737B479A" w:rsidR="31E4B92B" w:rsidRPr="003C67AE" w:rsidRDefault="78A837CE" w:rsidP="006E3D43">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Narrow" w:eastAsia="Arial" w:hAnsi="Arial Narrow" w:cs="Arial"/>
                <w:b w:val="0"/>
                <w:bCs w:val="0"/>
                <w:color w:val="FFFFFF" w:themeColor="background1"/>
              </w:rPr>
            </w:pPr>
            <w:r w:rsidRPr="003C67AE">
              <w:rPr>
                <w:rFonts w:ascii="Arial Narrow" w:eastAsia="Arial" w:hAnsi="Arial Narrow" w:cs="Arial"/>
              </w:rPr>
              <w:t>MS Bands</w:t>
            </w:r>
          </w:p>
        </w:tc>
        <w:tc>
          <w:tcPr>
            <w:tcW w:w="2097" w:type="dxa"/>
            <w:tcMar>
              <w:top w:w="80" w:type="dxa"/>
              <w:left w:w="120" w:type="dxa"/>
              <w:bottom w:w="80" w:type="dxa"/>
              <w:right w:w="120" w:type="dxa"/>
            </w:tcMar>
            <w:vAlign w:val="center"/>
          </w:tcPr>
          <w:p w14:paraId="3AD853B8" w14:textId="6FFB5B2A" w:rsidR="31E4B92B" w:rsidRPr="003C67AE" w:rsidRDefault="78A837CE" w:rsidP="006E3D43">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Narrow" w:eastAsia="Arial" w:hAnsi="Arial Narrow" w:cs="Arial"/>
                <w:b w:val="0"/>
                <w:bCs w:val="0"/>
                <w:color w:val="FFFFFF" w:themeColor="background1"/>
              </w:rPr>
            </w:pPr>
            <w:r w:rsidRPr="003C67AE">
              <w:rPr>
                <w:rFonts w:ascii="Arial Narrow" w:eastAsia="Arial" w:hAnsi="Arial Narrow" w:cs="Arial"/>
              </w:rPr>
              <w:t>Operational</w:t>
            </w:r>
          </w:p>
        </w:tc>
      </w:tr>
      <w:tr w:rsidR="31E4B92B" w:rsidRPr="003C67AE" w14:paraId="60EA105B" w14:textId="77777777" w:rsidTr="006E3D4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88" w:type="dxa"/>
            <w:tcMar>
              <w:top w:w="60" w:type="dxa"/>
              <w:left w:w="120" w:type="dxa"/>
              <w:bottom w:w="60" w:type="dxa"/>
              <w:right w:w="120" w:type="dxa"/>
            </w:tcMar>
            <w:vAlign w:val="center"/>
          </w:tcPr>
          <w:p w14:paraId="46BCC688" w14:textId="6A51CFFF" w:rsidR="31E4B92B" w:rsidRPr="003C67AE" w:rsidRDefault="78A837CE" w:rsidP="006E3D43">
            <w:pPr>
              <w:spacing w:line="360" w:lineRule="auto"/>
              <w:rPr>
                <w:rFonts w:ascii="Arial Narrow" w:eastAsia="Arial" w:hAnsi="Arial Narrow" w:cs="Arial"/>
              </w:rPr>
            </w:pPr>
            <w:r w:rsidRPr="003C67AE">
              <w:rPr>
                <w:rFonts w:ascii="Arial Narrow" w:eastAsia="Arial" w:hAnsi="Arial Narrow" w:cs="Arial"/>
              </w:rPr>
              <w:t>QuickBird-2</w:t>
            </w:r>
          </w:p>
        </w:tc>
        <w:tc>
          <w:tcPr>
            <w:tcW w:w="1648" w:type="dxa"/>
            <w:tcMar>
              <w:top w:w="60" w:type="dxa"/>
              <w:left w:w="120" w:type="dxa"/>
              <w:bottom w:w="60" w:type="dxa"/>
              <w:right w:w="120" w:type="dxa"/>
            </w:tcMar>
            <w:vAlign w:val="center"/>
          </w:tcPr>
          <w:p w14:paraId="5F73FA01" w14:textId="039CA945" w:rsidR="31E4B92B" w:rsidRPr="003C67AE" w:rsidRDefault="78A837CE" w:rsidP="006E3D43">
            <w:pPr>
              <w:spacing w:line="360" w:lineRule="auto"/>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rPr>
            </w:pPr>
            <w:r w:rsidRPr="003C67AE">
              <w:rPr>
                <w:rFonts w:ascii="Arial Narrow" w:eastAsia="Arial" w:hAnsi="Arial Narrow" w:cs="Arial"/>
              </w:rPr>
              <w:t>0.61</w:t>
            </w:r>
          </w:p>
        </w:tc>
        <w:tc>
          <w:tcPr>
            <w:tcW w:w="1620" w:type="dxa"/>
            <w:tcMar>
              <w:top w:w="60" w:type="dxa"/>
              <w:left w:w="120" w:type="dxa"/>
              <w:bottom w:w="60" w:type="dxa"/>
              <w:right w:w="120" w:type="dxa"/>
            </w:tcMar>
            <w:vAlign w:val="center"/>
          </w:tcPr>
          <w:p w14:paraId="6E9A06DB" w14:textId="1F0A864F" w:rsidR="31E4B92B" w:rsidRPr="003C67AE" w:rsidRDefault="78A837CE" w:rsidP="006E3D43">
            <w:pPr>
              <w:spacing w:line="360" w:lineRule="auto"/>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rPr>
            </w:pPr>
            <w:r w:rsidRPr="003C67AE">
              <w:rPr>
                <w:rFonts w:ascii="Arial Narrow" w:eastAsia="Arial" w:hAnsi="Arial Narrow" w:cs="Arial"/>
              </w:rPr>
              <w:t>2.44</w:t>
            </w:r>
          </w:p>
        </w:tc>
        <w:tc>
          <w:tcPr>
            <w:tcW w:w="2303" w:type="dxa"/>
            <w:tcMar>
              <w:top w:w="60" w:type="dxa"/>
              <w:left w:w="120" w:type="dxa"/>
              <w:bottom w:w="60" w:type="dxa"/>
              <w:right w:w="120" w:type="dxa"/>
            </w:tcMar>
            <w:vAlign w:val="center"/>
          </w:tcPr>
          <w:p w14:paraId="44506C49" w14:textId="0EBA6D98" w:rsidR="31E4B92B" w:rsidRPr="003C67AE" w:rsidRDefault="78A837CE" w:rsidP="006E3D43">
            <w:pPr>
              <w:spacing w:line="360" w:lineRule="auto"/>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rPr>
            </w:pPr>
            <w:r w:rsidRPr="003C67AE">
              <w:rPr>
                <w:rFonts w:ascii="Arial Narrow" w:eastAsia="Arial" w:hAnsi="Arial Narrow" w:cs="Arial"/>
              </w:rPr>
              <w:t>4-band (B, G, R, NIR)</w:t>
            </w:r>
          </w:p>
        </w:tc>
        <w:tc>
          <w:tcPr>
            <w:tcW w:w="2097" w:type="dxa"/>
            <w:gridSpan w:val="2"/>
            <w:tcMar>
              <w:top w:w="60" w:type="dxa"/>
              <w:left w:w="120" w:type="dxa"/>
              <w:bottom w:w="60" w:type="dxa"/>
              <w:right w:w="120" w:type="dxa"/>
            </w:tcMar>
            <w:vAlign w:val="center"/>
          </w:tcPr>
          <w:p w14:paraId="265505AA" w14:textId="4093ED9B" w:rsidR="31E4B92B" w:rsidRPr="003C67AE" w:rsidRDefault="78A837CE" w:rsidP="006E3D43">
            <w:pPr>
              <w:spacing w:line="360" w:lineRule="auto"/>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rPr>
            </w:pPr>
            <w:r w:rsidRPr="003C67AE">
              <w:rPr>
                <w:rFonts w:ascii="Arial Narrow" w:eastAsia="Arial" w:hAnsi="Arial Narrow" w:cs="Arial"/>
              </w:rPr>
              <w:t>2001–2015</w:t>
            </w:r>
          </w:p>
        </w:tc>
      </w:tr>
      <w:tr w:rsidR="31E4B92B" w:rsidRPr="003C67AE" w14:paraId="54952861" w14:textId="77777777" w:rsidTr="006E3D43">
        <w:trPr>
          <w:gridAfter w:val="1"/>
          <w:wAfter w:w="10" w:type="dxa"/>
          <w:trHeight w:val="300"/>
        </w:trPr>
        <w:tc>
          <w:tcPr>
            <w:cnfStyle w:val="001000000000" w:firstRow="0" w:lastRow="0" w:firstColumn="1" w:lastColumn="0" w:oddVBand="0" w:evenVBand="0" w:oddHBand="0" w:evenHBand="0" w:firstRowFirstColumn="0" w:firstRowLastColumn="0" w:lastRowFirstColumn="0" w:lastRowLastColumn="0"/>
            <w:tcW w:w="1688" w:type="dxa"/>
            <w:tcMar>
              <w:top w:w="60" w:type="dxa"/>
              <w:left w:w="120" w:type="dxa"/>
              <w:bottom w:w="60" w:type="dxa"/>
              <w:right w:w="120" w:type="dxa"/>
            </w:tcMar>
            <w:vAlign w:val="center"/>
          </w:tcPr>
          <w:p w14:paraId="1B156293" w14:textId="69391B4D" w:rsidR="31E4B92B" w:rsidRPr="003C67AE" w:rsidRDefault="78A837CE" w:rsidP="006E3D43">
            <w:pPr>
              <w:spacing w:line="360" w:lineRule="auto"/>
              <w:rPr>
                <w:rFonts w:ascii="Arial Narrow" w:eastAsia="Arial" w:hAnsi="Arial Narrow" w:cs="Arial"/>
              </w:rPr>
            </w:pPr>
            <w:r w:rsidRPr="003C67AE">
              <w:rPr>
                <w:rFonts w:ascii="Arial Narrow" w:eastAsia="Arial" w:hAnsi="Arial Narrow" w:cs="Arial"/>
              </w:rPr>
              <w:t>WorldView-2</w:t>
            </w:r>
          </w:p>
        </w:tc>
        <w:tc>
          <w:tcPr>
            <w:tcW w:w="1648" w:type="dxa"/>
            <w:tcMar>
              <w:top w:w="60" w:type="dxa"/>
              <w:left w:w="120" w:type="dxa"/>
              <w:bottom w:w="60" w:type="dxa"/>
              <w:right w:w="120" w:type="dxa"/>
            </w:tcMar>
            <w:vAlign w:val="center"/>
          </w:tcPr>
          <w:p w14:paraId="4F283ED2" w14:textId="0F0942F5" w:rsidR="31E4B92B" w:rsidRPr="003C67AE" w:rsidRDefault="78A837CE" w:rsidP="006E3D43">
            <w:pPr>
              <w:spacing w:line="360" w:lineRule="auto"/>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rPr>
            </w:pPr>
            <w:r w:rsidRPr="003C67AE">
              <w:rPr>
                <w:rFonts w:ascii="Arial Narrow" w:eastAsia="Arial" w:hAnsi="Arial Narrow" w:cs="Arial"/>
              </w:rPr>
              <w:t>0.46</w:t>
            </w:r>
          </w:p>
        </w:tc>
        <w:tc>
          <w:tcPr>
            <w:tcW w:w="1620" w:type="dxa"/>
            <w:tcMar>
              <w:top w:w="60" w:type="dxa"/>
              <w:left w:w="120" w:type="dxa"/>
              <w:bottom w:w="60" w:type="dxa"/>
              <w:right w:w="120" w:type="dxa"/>
            </w:tcMar>
            <w:vAlign w:val="center"/>
          </w:tcPr>
          <w:p w14:paraId="577F20C6" w14:textId="39C11CC2" w:rsidR="31E4B92B" w:rsidRPr="003C67AE" w:rsidRDefault="78A837CE" w:rsidP="006E3D43">
            <w:pPr>
              <w:spacing w:line="360" w:lineRule="auto"/>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rPr>
            </w:pPr>
            <w:r w:rsidRPr="003C67AE">
              <w:rPr>
                <w:rFonts w:ascii="Arial Narrow" w:eastAsia="Arial" w:hAnsi="Arial Narrow" w:cs="Arial"/>
              </w:rPr>
              <w:t>1.84</w:t>
            </w:r>
          </w:p>
        </w:tc>
        <w:tc>
          <w:tcPr>
            <w:tcW w:w="2303" w:type="dxa"/>
            <w:tcMar>
              <w:top w:w="60" w:type="dxa"/>
              <w:left w:w="120" w:type="dxa"/>
              <w:bottom w:w="60" w:type="dxa"/>
              <w:right w:w="120" w:type="dxa"/>
            </w:tcMar>
            <w:vAlign w:val="center"/>
          </w:tcPr>
          <w:p w14:paraId="18AC7095" w14:textId="590A437C" w:rsidR="31E4B92B" w:rsidRPr="003C67AE" w:rsidRDefault="78A837CE" w:rsidP="006E3D43">
            <w:pPr>
              <w:spacing w:line="360" w:lineRule="auto"/>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rPr>
            </w:pPr>
            <w:r w:rsidRPr="003C67AE">
              <w:rPr>
                <w:rFonts w:ascii="Arial Narrow" w:eastAsia="Arial" w:hAnsi="Arial Narrow" w:cs="Arial"/>
              </w:rPr>
              <w:t>8-band MS</w:t>
            </w:r>
          </w:p>
        </w:tc>
        <w:tc>
          <w:tcPr>
            <w:tcW w:w="2097" w:type="dxa"/>
            <w:tcMar>
              <w:top w:w="60" w:type="dxa"/>
              <w:left w:w="120" w:type="dxa"/>
              <w:bottom w:w="60" w:type="dxa"/>
              <w:right w:w="120" w:type="dxa"/>
            </w:tcMar>
            <w:vAlign w:val="center"/>
          </w:tcPr>
          <w:p w14:paraId="0E7ACB2E" w14:textId="6ADC4D2F" w:rsidR="31E4B92B" w:rsidRPr="003C67AE" w:rsidRDefault="78A837CE" w:rsidP="006E3D43">
            <w:pPr>
              <w:spacing w:line="360" w:lineRule="auto"/>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rPr>
            </w:pPr>
            <w:r w:rsidRPr="003C67AE">
              <w:rPr>
                <w:rFonts w:ascii="Arial Narrow" w:eastAsia="Arial" w:hAnsi="Arial Narrow" w:cs="Arial"/>
              </w:rPr>
              <w:t>2009–present</w:t>
            </w:r>
          </w:p>
        </w:tc>
      </w:tr>
      <w:tr w:rsidR="31E4B92B" w:rsidRPr="003C67AE" w14:paraId="6E612635" w14:textId="77777777" w:rsidTr="006E3D4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88" w:type="dxa"/>
            <w:tcMar>
              <w:top w:w="60" w:type="dxa"/>
              <w:left w:w="120" w:type="dxa"/>
              <w:bottom w:w="60" w:type="dxa"/>
              <w:right w:w="120" w:type="dxa"/>
            </w:tcMar>
            <w:vAlign w:val="center"/>
          </w:tcPr>
          <w:p w14:paraId="7E04A253" w14:textId="0FC3E2C8" w:rsidR="31E4B92B" w:rsidRPr="003C67AE" w:rsidRDefault="78A837CE" w:rsidP="006E3D43">
            <w:pPr>
              <w:spacing w:line="360" w:lineRule="auto"/>
              <w:rPr>
                <w:rFonts w:ascii="Arial Narrow" w:eastAsia="Arial" w:hAnsi="Arial Narrow" w:cs="Arial"/>
              </w:rPr>
            </w:pPr>
            <w:r w:rsidRPr="003C67AE">
              <w:rPr>
                <w:rFonts w:ascii="Arial Narrow" w:eastAsia="Arial" w:hAnsi="Arial Narrow" w:cs="Arial"/>
              </w:rPr>
              <w:t>WorldView-3</w:t>
            </w:r>
          </w:p>
        </w:tc>
        <w:tc>
          <w:tcPr>
            <w:tcW w:w="1648" w:type="dxa"/>
            <w:tcMar>
              <w:top w:w="60" w:type="dxa"/>
              <w:left w:w="120" w:type="dxa"/>
              <w:bottom w:w="60" w:type="dxa"/>
              <w:right w:w="120" w:type="dxa"/>
            </w:tcMar>
            <w:vAlign w:val="center"/>
          </w:tcPr>
          <w:p w14:paraId="1FD74057" w14:textId="01694D10" w:rsidR="31E4B92B" w:rsidRPr="003C67AE" w:rsidRDefault="78A837CE" w:rsidP="006E3D43">
            <w:pPr>
              <w:spacing w:line="360" w:lineRule="auto"/>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rPr>
            </w:pPr>
            <w:r w:rsidRPr="003C67AE">
              <w:rPr>
                <w:rFonts w:ascii="Arial Narrow" w:eastAsia="Arial" w:hAnsi="Arial Narrow" w:cs="Arial"/>
              </w:rPr>
              <w:t>0.31</w:t>
            </w:r>
          </w:p>
        </w:tc>
        <w:tc>
          <w:tcPr>
            <w:tcW w:w="1620" w:type="dxa"/>
            <w:tcMar>
              <w:top w:w="60" w:type="dxa"/>
              <w:left w:w="120" w:type="dxa"/>
              <w:bottom w:w="60" w:type="dxa"/>
              <w:right w:w="120" w:type="dxa"/>
            </w:tcMar>
            <w:vAlign w:val="center"/>
          </w:tcPr>
          <w:p w14:paraId="5ADA059A" w14:textId="4FE2ED6A" w:rsidR="31E4B92B" w:rsidRPr="003C67AE" w:rsidRDefault="78A837CE" w:rsidP="006E3D43">
            <w:pPr>
              <w:spacing w:line="360" w:lineRule="auto"/>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rPr>
            </w:pPr>
            <w:r w:rsidRPr="003C67AE">
              <w:rPr>
                <w:rFonts w:ascii="Arial Narrow" w:eastAsia="Arial" w:hAnsi="Arial Narrow" w:cs="Arial"/>
              </w:rPr>
              <w:t>1.24</w:t>
            </w:r>
          </w:p>
        </w:tc>
        <w:tc>
          <w:tcPr>
            <w:tcW w:w="2303" w:type="dxa"/>
            <w:tcMar>
              <w:top w:w="60" w:type="dxa"/>
              <w:left w:w="120" w:type="dxa"/>
              <w:bottom w:w="60" w:type="dxa"/>
              <w:right w:w="120" w:type="dxa"/>
            </w:tcMar>
            <w:vAlign w:val="center"/>
          </w:tcPr>
          <w:p w14:paraId="19B1B907" w14:textId="35B6CBD9" w:rsidR="31E4B92B" w:rsidRPr="003C67AE" w:rsidRDefault="78A837CE" w:rsidP="006E3D43">
            <w:pPr>
              <w:spacing w:line="360" w:lineRule="auto"/>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rPr>
            </w:pPr>
            <w:r w:rsidRPr="003C67AE">
              <w:rPr>
                <w:rFonts w:ascii="Arial Narrow" w:eastAsia="Arial" w:hAnsi="Arial Narrow" w:cs="Arial"/>
              </w:rPr>
              <w:t>8-band MS + SWIR</w:t>
            </w:r>
          </w:p>
        </w:tc>
        <w:tc>
          <w:tcPr>
            <w:tcW w:w="2097" w:type="dxa"/>
            <w:gridSpan w:val="2"/>
            <w:tcMar>
              <w:top w:w="60" w:type="dxa"/>
              <w:left w:w="120" w:type="dxa"/>
              <w:bottom w:w="60" w:type="dxa"/>
              <w:right w:w="120" w:type="dxa"/>
            </w:tcMar>
            <w:vAlign w:val="center"/>
          </w:tcPr>
          <w:p w14:paraId="377BDA01" w14:textId="57CDD6EE" w:rsidR="31E4B92B" w:rsidRPr="003C67AE" w:rsidRDefault="78A837CE" w:rsidP="006E3D43">
            <w:pPr>
              <w:spacing w:line="360" w:lineRule="auto"/>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rPr>
            </w:pPr>
            <w:r w:rsidRPr="003C67AE">
              <w:rPr>
                <w:rFonts w:ascii="Arial Narrow" w:eastAsia="Arial" w:hAnsi="Arial Narrow" w:cs="Arial"/>
              </w:rPr>
              <w:t>2014–present</w:t>
            </w:r>
          </w:p>
        </w:tc>
      </w:tr>
    </w:tbl>
    <w:p w14:paraId="77F0D16D" w14:textId="42FD306D" w:rsidR="31E4B92B" w:rsidRDefault="31E4B92B" w:rsidP="006E3D43">
      <w:pPr>
        <w:spacing w:after="40"/>
        <w:rPr>
          <w:rFonts w:ascii="Arial" w:eastAsia="Arial" w:hAnsi="Arial" w:cs="Arial"/>
          <w:sz w:val="22"/>
          <w:szCs w:val="22"/>
        </w:rPr>
      </w:pPr>
    </w:p>
    <w:p w14:paraId="3868B31B" w14:textId="3FE42985" w:rsidR="2C7FFE03" w:rsidRPr="006E3D43" w:rsidRDefault="2C7FFE03" w:rsidP="006E3D43">
      <w:pPr>
        <w:spacing w:before="60" w:after="160"/>
        <w:ind w:firstLine="720"/>
        <w:rPr>
          <w:rFonts w:eastAsia="Times New Roman" w:cs="Times New Roman"/>
        </w:rPr>
      </w:pPr>
      <w:r w:rsidRPr="006E3D43">
        <w:rPr>
          <w:rFonts w:eastAsia="Times New Roman" w:cs="Times New Roman"/>
        </w:rPr>
        <w:t xml:space="preserve">All imagery was sourced from </w:t>
      </w:r>
      <w:r w:rsidR="54DB50AA" w:rsidRPr="006E3D43">
        <w:rPr>
          <w:rFonts w:eastAsia="Times New Roman" w:cs="Times New Roman"/>
        </w:rPr>
        <w:t xml:space="preserve">Vantor's Global Enhanced GEOINT Delivery Pro platform (GEGD Pro) </w:t>
      </w:r>
      <w:r w:rsidRPr="006E3D43">
        <w:rPr>
          <w:rFonts w:eastAsia="Times New Roman" w:cs="Times New Roman"/>
        </w:rPr>
        <w:t>commercial archive and delivered as orthorectified, surface-reflectance-corrected products. WorldView-3 imagery at 0.31 m panchromatic resolution sits comfortably within the 10–40 cm optimal input range of the Esri deep learning models; WorldView-2 at 0.46 m falls near the upper limit of this range and was resampled to 0.40 m before inference to improve model performance. QuickBird-2 at 0.61 m is marginally above the model's specified optimal range.</w:t>
      </w:r>
    </w:p>
    <w:p w14:paraId="1AF08283" w14:textId="36907445" w:rsidR="31E4B92B" w:rsidRPr="006E3D43" w:rsidRDefault="31E4B92B" w:rsidP="006E3D43">
      <w:pPr>
        <w:spacing w:after="80"/>
        <w:rPr>
          <w:rFonts w:eastAsia="Times New Roman" w:cs="Times New Roman"/>
        </w:rPr>
      </w:pPr>
    </w:p>
    <w:p w14:paraId="75C723A8" w14:textId="602393A9" w:rsidR="2C7FFE03" w:rsidRPr="006E3D43" w:rsidRDefault="2C7FFE03" w:rsidP="006E3D43">
      <w:pPr>
        <w:pStyle w:val="Head3"/>
        <w:rPr>
          <w:b w:val="0"/>
        </w:rPr>
      </w:pPr>
      <w:bookmarkStart w:id="61" w:name="_Toc228290448"/>
      <w:r w:rsidRPr="006E3D43">
        <w:t>Study Area Boundaries</w:t>
      </w:r>
      <w:bookmarkEnd w:id="61"/>
    </w:p>
    <w:p w14:paraId="1F908136" w14:textId="1BB18628" w:rsidR="2C7FFE03" w:rsidRPr="006E3D43" w:rsidRDefault="65677826" w:rsidP="006E3D43">
      <w:pPr>
        <w:spacing w:after="120"/>
        <w:ind w:firstLine="720"/>
        <w:jc w:val="both"/>
        <w:rPr>
          <w:rFonts w:eastAsia="Times New Roman" w:cs="Times New Roman"/>
        </w:rPr>
      </w:pPr>
      <w:r w:rsidRPr="006E3D43">
        <w:rPr>
          <w:rFonts w:eastAsia="Times New Roman" w:cs="Times New Roman"/>
        </w:rPr>
        <w:t>Settlement boundary delineations for all six sites were provided by the Asian Development Bank as polygon shapefiles. These boundaries define the spatial extent within which all building counts, density estimates, and coverage metrics are computed. Wailekutu is represented by two distinct polygons within a single merged shapefile</w:t>
      </w:r>
      <w:r w:rsidR="1182CA7E" w:rsidRPr="006E3D43">
        <w:rPr>
          <w:rFonts w:eastAsia="Times New Roman" w:cs="Times New Roman"/>
        </w:rPr>
        <w:t xml:space="preserve"> </w:t>
      </w:r>
      <w:r w:rsidRPr="006E3D43">
        <w:rPr>
          <w:rFonts w:eastAsia="Times New Roman" w:cs="Times New Roman"/>
        </w:rPr>
        <w:t>and building footprints within both polygons are treated as a combined dataset for all metric calculations.</w:t>
      </w:r>
    </w:p>
    <w:p w14:paraId="39ED22CA" w14:textId="1C23E2F8" w:rsidR="2C7FFE03" w:rsidRPr="006E3D43" w:rsidRDefault="2C7FFE03" w:rsidP="006E3D43">
      <w:pPr>
        <w:pStyle w:val="Head3"/>
        <w:rPr>
          <w:b w:val="0"/>
        </w:rPr>
      </w:pPr>
      <w:bookmarkStart w:id="62" w:name="_Toc228290449"/>
      <w:r w:rsidRPr="006E3D43">
        <w:lastRenderedPageBreak/>
        <w:t>Image Co-registration</w:t>
      </w:r>
      <w:bookmarkEnd w:id="62"/>
    </w:p>
    <w:p w14:paraId="1D7DC293" w14:textId="4ADE2F62" w:rsidR="2C7FFE03" w:rsidRPr="006E3D43" w:rsidRDefault="65677826" w:rsidP="006E3D43">
      <w:pPr>
        <w:spacing w:after="120"/>
        <w:ind w:firstLine="720"/>
        <w:jc w:val="both"/>
        <w:rPr>
          <w:rFonts w:eastAsia="Times New Roman" w:cs="Times New Roman"/>
        </w:rPr>
      </w:pPr>
      <w:r w:rsidRPr="006E3D43">
        <w:rPr>
          <w:rFonts w:eastAsia="Times New Roman" w:cs="Times New Roman"/>
        </w:rPr>
        <w:t xml:space="preserve">Accurate temporal change analysis requires sub-pixel positional alignment between multi-date images. Image co-registration was performed using the AROSICS automated co-registration library (Python, </w:t>
      </w:r>
      <w:proofErr w:type="spellStart"/>
      <w:r w:rsidRPr="006E3D43">
        <w:rPr>
          <w:rFonts w:eastAsia="Times New Roman" w:cs="Times New Roman"/>
        </w:rPr>
        <w:t>Miniforge</w:t>
      </w:r>
      <w:proofErr w:type="spellEnd"/>
      <w:r w:rsidRPr="006E3D43">
        <w:rPr>
          <w:rFonts w:eastAsia="Times New Roman" w:cs="Times New Roman"/>
        </w:rPr>
        <w:t xml:space="preserve"> environment) with the 2025 WorldView-3 scene as the positional reference and all earlier epochs as targets. Band 4 (near-infrared) was used as the matching channel due to its stronger structural contrast relative to visible bands in tropical environments. </w:t>
      </w:r>
    </w:p>
    <w:p w14:paraId="2259E3D0" w14:textId="0B456D31" w:rsidR="31E4B92B" w:rsidRDefault="78A837CE" w:rsidP="006E3D43">
      <w:pPr>
        <w:spacing w:after="120"/>
        <w:ind w:firstLine="720"/>
        <w:jc w:val="both"/>
        <w:rPr>
          <w:rFonts w:eastAsia="Times New Roman" w:cs="Times New Roman"/>
        </w:rPr>
      </w:pPr>
      <w:r w:rsidRPr="006E3D43">
        <w:rPr>
          <w:rFonts w:eastAsia="Times New Roman" w:cs="Times New Roman"/>
        </w:rPr>
        <w:t>Co-registration results differed by site. Most sites achieved sub-pixel accuracy globally, but AROSICS encountered memory failures and erroneous global shifts, leaving some scenes unresolved and needing improvement.</w:t>
      </w:r>
    </w:p>
    <w:p w14:paraId="0F8BB22C" w14:textId="64D0374F" w:rsidR="31E4B92B" w:rsidRPr="006E3D43" w:rsidRDefault="31E4B92B" w:rsidP="31E4B92B">
      <w:pPr>
        <w:spacing w:after="120" w:line="276" w:lineRule="auto"/>
        <w:jc w:val="both"/>
        <w:rPr>
          <w:rFonts w:eastAsia="Times New Roman" w:cs="Times New Roman"/>
        </w:rPr>
      </w:pPr>
    </w:p>
    <w:p w14:paraId="3AEF5E85" w14:textId="01BBE822" w:rsidR="0599FB9C" w:rsidRPr="006E3D43" w:rsidRDefault="0599FB9C" w:rsidP="006E3D43">
      <w:pPr>
        <w:pStyle w:val="Head3"/>
        <w:rPr>
          <w:b w:val="0"/>
        </w:rPr>
      </w:pPr>
      <w:bookmarkStart w:id="63" w:name="_Toc228290450"/>
      <w:r w:rsidRPr="006E3D43">
        <w:t>Building footprint extraction workflow</w:t>
      </w:r>
      <w:bookmarkEnd w:id="63"/>
    </w:p>
    <w:p w14:paraId="4855F6DA" w14:textId="6FAA7166" w:rsidR="0599FB9C" w:rsidRDefault="6409848A" w:rsidP="006E3D43">
      <w:pPr>
        <w:pStyle w:val="BodyText"/>
      </w:pPr>
      <w:r w:rsidRPr="006E3D43">
        <w:rPr>
          <w:rFonts w:eastAsia="Times New Roman"/>
        </w:rPr>
        <w:t xml:space="preserve">The building footprint extraction workflow consists of seven sequential stages, summarized in </w:t>
      </w:r>
      <w:r w:rsidR="00F666F9">
        <w:fldChar w:fldCharType="begin"/>
      </w:r>
      <w:r w:rsidR="00F666F9">
        <w:instrText xml:space="preserve"> REF _Ref227325527 \h </w:instrText>
      </w:r>
      <w:r w:rsidR="00F666F9">
        <w:fldChar w:fldCharType="separate"/>
      </w:r>
      <w:r w:rsidR="00F666F9">
        <w:t xml:space="preserve">Table </w:t>
      </w:r>
      <w:r w:rsidR="00F666F9">
        <w:rPr>
          <w:noProof/>
        </w:rPr>
        <w:t>5</w:t>
      </w:r>
      <w:r w:rsidR="00F666F9">
        <w:fldChar w:fldCharType="end"/>
      </w:r>
      <w:r w:rsidR="00F666F9">
        <w:t>.</w:t>
      </w:r>
    </w:p>
    <w:p w14:paraId="250F0A35" w14:textId="13E94368" w:rsidR="00F666F9" w:rsidRPr="0014794D" w:rsidRDefault="00F666F9" w:rsidP="006E3D43">
      <w:pPr>
        <w:pStyle w:val="Caption"/>
        <w:rPr>
          <w:rFonts w:ascii="Arial Narrow" w:eastAsia="Times New Roman" w:hAnsi="Arial Narrow"/>
          <w:iCs w:val="0"/>
          <w:szCs w:val="24"/>
        </w:rPr>
      </w:pPr>
      <w:bookmarkStart w:id="64" w:name="_Ref227325527"/>
      <w:bookmarkStart w:id="65" w:name="_Toc228290772"/>
      <w:r w:rsidRPr="0014794D">
        <w:rPr>
          <w:rFonts w:ascii="Arial Narrow" w:hAnsi="Arial Narrow"/>
          <w:szCs w:val="24"/>
        </w:rPr>
        <w:t xml:space="preserve">Table </w:t>
      </w:r>
      <w:r w:rsidRPr="0014794D">
        <w:rPr>
          <w:rFonts w:ascii="Arial Narrow" w:hAnsi="Arial Narrow"/>
          <w:szCs w:val="24"/>
        </w:rPr>
        <w:fldChar w:fldCharType="begin"/>
      </w:r>
      <w:r w:rsidRPr="0014794D">
        <w:rPr>
          <w:rFonts w:ascii="Arial Narrow" w:hAnsi="Arial Narrow"/>
          <w:szCs w:val="24"/>
        </w:rPr>
        <w:instrText xml:space="preserve"> SEQ Table \* ARABIC </w:instrText>
      </w:r>
      <w:r w:rsidRPr="0014794D">
        <w:rPr>
          <w:rFonts w:ascii="Arial Narrow" w:hAnsi="Arial Narrow"/>
          <w:szCs w:val="24"/>
        </w:rPr>
        <w:fldChar w:fldCharType="separate"/>
      </w:r>
      <w:r w:rsidRPr="0014794D">
        <w:rPr>
          <w:rFonts w:ascii="Arial Narrow" w:hAnsi="Arial Narrow"/>
          <w:noProof/>
          <w:szCs w:val="24"/>
        </w:rPr>
        <w:t>5</w:t>
      </w:r>
      <w:r w:rsidRPr="0014794D">
        <w:rPr>
          <w:rFonts w:ascii="Arial Narrow" w:hAnsi="Arial Narrow"/>
          <w:szCs w:val="24"/>
        </w:rPr>
        <w:fldChar w:fldCharType="end"/>
      </w:r>
      <w:bookmarkEnd w:id="64"/>
      <w:r w:rsidRPr="0014794D">
        <w:rPr>
          <w:rFonts w:ascii="Arial Narrow" w:hAnsi="Arial Narrow"/>
          <w:szCs w:val="24"/>
        </w:rPr>
        <w:t>. Each stage is described in detail below.</w:t>
      </w:r>
      <w:bookmarkEnd w:id="65"/>
    </w:p>
    <w:tbl>
      <w:tblPr>
        <w:tblStyle w:val="PlainTable1"/>
        <w:tblW w:w="9237" w:type="dxa"/>
        <w:tblLook w:val="04A0" w:firstRow="1" w:lastRow="0" w:firstColumn="1" w:lastColumn="0" w:noHBand="0" w:noVBand="1"/>
      </w:tblPr>
      <w:tblGrid>
        <w:gridCol w:w="1173"/>
        <w:gridCol w:w="2340"/>
        <w:gridCol w:w="5724"/>
      </w:tblGrid>
      <w:tr w:rsidR="31E4B92B" w:rsidRPr="0014794D" w14:paraId="0A3CC62F" w14:textId="77777777" w:rsidTr="006E3D43">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73" w:type="dxa"/>
            <w:tcMar>
              <w:top w:w="80" w:type="dxa"/>
              <w:left w:w="120" w:type="dxa"/>
              <w:bottom w:w="80" w:type="dxa"/>
              <w:right w:w="120" w:type="dxa"/>
            </w:tcMar>
            <w:vAlign w:val="center"/>
          </w:tcPr>
          <w:p w14:paraId="6C063377" w14:textId="6EB56FDB" w:rsidR="31E4B92B" w:rsidRPr="0014794D" w:rsidRDefault="78A837CE" w:rsidP="006E3D43">
            <w:pPr>
              <w:spacing w:line="360" w:lineRule="auto"/>
              <w:jc w:val="center"/>
              <w:rPr>
                <w:rFonts w:ascii="Arial Narrow" w:eastAsia="Arial" w:hAnsi="Arial Narrow" w:cs="Arial"/>
              </w:rPr>
            </w:pPr>
            <w:r w:rsidRPr="0014794D">
              <w:rPr>
                <w:rFonts w:ascii="Arial Narrow" w:eastAsia="Arial" w:hAnsi="Arial Narrow" w:cs="Arial"/>
              </w:rPr>
              <w:t>Stage</w:t>
            </w:r>
          </w:p>
        </w:tc>
        <w:tc>
          <w:tcPr>
            <w:tcW w:w="2340" w:type="dxa"/>
            <w:tcMar>
              <w:top w:w="80" w:type="dxa"/>
              <w:left w:w="120" w:type="dxa"/>
              <w:bottom w:w="80" w:type="dxa"/>
              <w:right w:w="120" w:type="dxa"/>
            </w:tcMar>
            <w:vAlign w:val="center"/>
          </w:tcPr>
          <w:p w14:paraId="64620C9F" w14:textId="15F59EA5" w:rsidR="31E4B92B" w:rsidRPr="0014794D" w:rsidRDefault="78A837CE" w:rsidP="006E3D43">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Narrow" w:eastAsia="Arial" w:hAnsi="Arial Narrow" w:cs="Arial"/>
                <w:b w:val="0"/>
                <w:bCs w:val="0"/>
              </w:rPr>
            </w:pPr>
            <w:r w:rsidRPr="0014794D">
              <w:rPr>
                <w:rFonts w:ascii="Arial Narrow" w:eastAsia="Arial" w:hAnsi="Arial Narrow" w:cs="Arial"/>
              </w:rPr>
              <w:t>Operation</w:t>
            </w:r>
          </w:p>
        </w:tc>
        <w:tc>
          <w:tcPr>
            <w:tcW w:w="5724" w:type="dxa"/>
            <w:tcMar>
              <w:top w:w="80" w:type="dxa"/>
              <w:left w:w="120" w:type="dxa"/>
              <w:bottom w:w="80" w:type="dxa"/>
              <w:right w:w="120" w:type="dxa"/>
            </w:tcMar>
            <w:vAlign w:val="center"/>
          </w:tcPr>
          <w:p w14:paraId="63220456" w14:textId="00D1E1D7" w:rsidR="31E4B92B" w:rsidRPr="0014794D" w:rsidRDefault="78A837CE" w:rsidP="006E3D43">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Narrow" w:eastAsia="Arial" w:hAnsi="Arial Narrow" w:cs="Arial"/>
                <w:b w:val="0"/>
                <w:bCs w:val="0"/>
              </w:rPr>
            </w:pPr>
            <w:r w:rsidRPr="0014794D">
              <w:rPr>
                <w:rFonts w:ascii="Arial Narrow" w:eastAsia="Arial" w:hAnsi="Arial Narrow" w:cs="Arial"/>
              </w:rPr>
              <w:t>Key Parameters / Notes</w:t>
            </w:r>
          </w:p>
        </w:tc>
      </w:tr>
      <w:tr w:rsidR="31E4B92B" w:rsidRPr="0014794D" w14:paraId="5A0525AF" w14:textId="77777777" w:rsidTr="006E3D4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73" w:type="dxa"/>
            <w:tcMar>
              <w:top w:w="60" w:type="dxa"/>
              <w:left w:w="120" w:type="dxa"/>
              <w:bottom w:w="60" w:type="dxa"/>
              <w:right w:w="120" w:type="dxa"/>
            </w:tcMar>
            <w:vAlign w:val="center"/>
          </w:tcPr>
          <w:p w14:paraId="3C4CDF27" w14:textId="23106A5A" w:rsidR="31E4B92B" w:rsidRPr="0014794D" w:rsidRDefault="78A837CE" w:rsidP="006E3D43">
            <w:pPr>
              <w:spacing w:line="360" w:lineRule="auto"/>
              <w:rPr>
                <w:rFonts w:ascii="Arial Narrow" w:eastAsia="Arial" w:hAnsi="Arial Narrow" w:cs="Arial"/>
              </w:rPr>
            </w:pPr>
            <w:r w:rsidRPr="0014794D">
              <w:rPr>
                <w:rFonts w:ascii="Arial Narrow" w:eastAsia="Arial" w:hAnsi="Arial Narrow" w:cs="Arial"/>
              </w:rPr>
              <w:t>1</w:t>
            </w:r>
          </w:p>
        </w:tc>
        <w:tc>
          <w:tcPr>
            <w:tcW w:w="2340" w:type="dxa"/>
            <w:tcMar>
              <w:top w:w="60" w:type="dxa"/>
              <w:left w:w="120" w:type="dxa"/>
              <w:bottom w:w="60" w:type="dxa"/>
              <w:right w:w="120" w:type="dxa"/>
            </w:tcMar>
            <w:vAlign w:val="center"/>
          </w:tcPr>
          <w:p w14:paraId="4B0E5069" w14:textId="61908076" w:rsidR="31E4B92B" w:rsidRPr="0014794D" w:rsidRDefault="78A837CE" w:rsidP="006E3D43">
            <w:pPr>
              <w:spacing w:line="360" w:lineRule="auto"/>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rPr>
            </w:pPr>
            <w:r w:rsidRPr="0014794D">
              <w:rPr>
                <w:rFonts w:ascii="Arial Narrow" w:eastAsia="Arial" w:hAnsi="Arial Narrow" w:cs="Arial"/>
              </w:rPr>
              <w:t>Image Co-registration</w:t>
            </w:r>
          </w:p>
        </w:tc>
        <w:tc>
          <w:tcPr>
            <w:tcW w:w="5724" w:type="dxa"/>
            <w:tcMar>
              <w:top w:w="60" w:type="dxa"/>
              <w:left w:w="120" w:type="dxa"/>
              <w:bottom w:w="60" w:type="dxa"/>
              <w:right w:w="120" w:type="dxa"/>
            </w:tcMar>
            <w:vAlign w:val="center"/>
          </w:tcPr>
          <w:p w14:paraId="16A20720" w14:textId="2D798AF5" w:rsidR="31E4B92B" w:rsidRPr="0014794D" w:rsidRDefault="78A837CE" w:rsidP="006E3D43">
            <w:pPr>
              <w:spacing w:line="360" w:lineRule="auto"/>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rPr>
            </w:pPr>
            <w:r w:rsidRPr="0014794D">
              <w:rPr>
                <w:rFonts w:ascii="Arial Narrow" w:eastAsia="Arial" w:hAnsi="Arial Narrow" w:cs="Arial"/>
              </w:rPr>
              <w:t>AROSICS (Python); Band 4 NIR reference;</w:t>
            </w:r>
          </w:p>
        </w:tc>
      </w:tr>
      <w:tr w:rsidR="31E4B92B" w:rsidRPr="0014794D" w14:paraId="3E50678B" w14:textId="77777777" w:rsidTr="006E3D43">
        <w:trPr>
          <w:trHeight w:val="300"/>
        </w:trPr>
        <w:tc>
          <w:tcPr>
            <w:cnfStyle w:val="001000000000" w:firstRow="0" w:lastRow="0" w:firstColumn="1" w:lastColumn="0" w:oddVBand="0" w:evenVBand="0" w:oddHBand="0" w:evenHBand="0" w:firstRowFirstColumn="0" w:firstRowLastColumn="0" w:lastRowFirstColumn="0" w:lastRowLastColumn="0"/>
            <w:tcW w:w="1173" w:type="dxa"/>
            <w:tcMar>
              <w:top w:w="60" w:type="dxa"/>
              <w:left w:w="120" w:type="dxa"/>
              <w:bottom w:w="60" w:type="dxa"/>
              <w:right w:w="120" w:type="dxa"/>
            </w:tcMar>
            <w:vAlign w:val="center"/>
          </w:tcPr>
          <w:p w14:paraId="4B396CAE" w14:textId="5E81524A" w:rsidR="31E4B92B" w:rsidRPr="0014794D" w:rsidRDefault="78A837CE" w:rsidP="006E3D43">
            <w:pPr>
              <w:spacing w:line="360" w:lineRule="auto"/>
              <w:rPr>
                <w:rFonts w:ascii="Arial Narrow" w:eastAsia="Arial" w:hAnsi="Arial Narrow" w:cs="Arial"/>
              </w:rPr>
            </w:pPr>
            <w:r w:rsidRPr="0014794D">
              <w:rPr>
                <w:rFonts w:ascii="Arial Narrow" w:eastAsia="Arial" w:hAnsi="Arial Narrow" w:cs="Arial"/>
              </w:rPr>
              <w:t>2</w:t>
            </w:r>
          </w:p>
        </w:tc>
        <w:tc>
          <w:tcPr>
            <w:tcW w:w="2340" w:type="dxa"/>
            <w:tcMar>
              <w:top w:w="60" w:type="dxa"/>
              <w:left w:w="120" w:type="dxa"/>
              <w:bottom w:w="60" w:type="dxa"/>
              <w:right w:w="120" w:type="dxa"/>
            </w:tcMar>
            <w:vAlign w:val="center"/>
          </w:tcPr>
          <w:p w14:paraId="2B490866" w14:textId="2301E26A" w:rsidR="31E4B92B" w:rsidRPr="0014794D" w:rsidRDefault="78A837CE" w:rsidP="006E3D43">
            <w:pPr>
              <w:spacing w:line="360" w:lineRule="auto"/>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rPr>
            </w:pPr>
            <w:r w:rsidRPr="0014794D">
              <w:rPr>
                <w:rFonts w:ascii="Arial Narrow" w:eastAsia="Arial" w:hAnsi="Arial Narrow" w:cs="Arial"/>
              </w:rPr>
              <w:t>Pan-sharpening</w:t>
            </w:r>
          </w:p>
        </w:tc>
        <w:tc>
          <w:tcPr>
            <w:tcW w:w="5724" w:type="dxa"/>
            <w:tcMar>
              <w:top w:w="60" w:type="dxa"/>
              <w:left w:w="120" w:type="dxa"/>
              <w:bottom w:w="60" w:type="dxa"/>
              <w:right w:w="120" w:type="dxa"/>
            </w:tcMar>
            <w:vAlign w:val="center"/>
          </w:tcPr>
          <w:p w14:paraId="592C9A78" w14:textId="790E763C" w:rsidR="31E4B92B" w:rsidRPr="0014794D" w:rsidRDefault="78A837CE" w:rsidP="006E3D43">
            <w:pPr>
              <w:spacing w:line="360" w:lineRule="auto"/>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rPr>
            </w:pPr>
            <w:r w:rsidRPr="0014794D">
              <w:rPr>
                <w:rFonts w:ascii="Arial Narrow" w:eastAsia="Arial" w:hAnsi="Arial Narrow" w:cs="Arial"/>
              </w:rPr>
              <w:t>Gram-Schmidt algorithm; fuses PAN + all MS bands to sub-mete</w:t>
            </w:r>
            <w:r w:rsidR="367E3026" w:rsidRPr="0014794D">
              <w:rPr>
                <w:rFonts w:ascii="Arial Narrow" w:eastAsia="Arial" w:hAnsi="Arial Narrow" w:cs="Arial"/>
              </w:rPr>
              <w:t>r</w:t>
            </w:r>
            <w:r w:rsidRPr="0014794D">
              <w:rPr>
                <w:rFonts w:ascii="Arial Narrow" w:eastAsia="Arial" w:hAnsi="Arial Narrow" w:cs="Arial"/>
              </w:rPr>
              <w:t xml:space="preserve"> resolution</w:t>
            </w:r>
          </w:p>
        </w:tc>
      </w:tr>
      <w:tr w:rsidR="31E4B92B" w:rsidRPr="0014794D" w14:paraId="5500AA21" w14:textId="77777777" w:rsidTr="006E3D4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73" w:type="dxa"/>
            <w:tcMar>
              <w:top w:w="60" w:type="dxa"/>
              <w:left w:w="120" w:type="dxa"/>
              <w:bottom w:w="60" w:type="dxa"/>
              <w:right w:w="120" w:type="dxa"/>
            </w:tcMar>
            <w:vAlign w:val="center"/>
          </w:tcPr>
          <w:p w14:paraId="7AC49AA5" w14:textId="28C7560A" w:rsidR="31E4B92B" w:rsidRPr="0014794D" w:rsidRDefault="78A837CE" w:rsidP="006E3D43">
            <w:pPr>
              <w:spacing w:line="360" w:lineRule="auto"/>
              <w:rPr>
                <w:rFonts w:ascii="Arial Narrow" w:eastAsia="Arial" w:hAnsi="Arial Narrow" w:cs="Arial"/>
              </w:rPr>
            </w:pPr>
            <w:r w:rsidRPr="0014794D">
              <w:rPr>
                <w:rFonts w:ascii="Arial Narrow" w:eastAsia="Arial" w:hAnsi="Arial Narrow" w:cs="Arial"/>
              </w:rPr>
              <w:t>3</w:t>
            </w:r>
          </w:p>
        </w:tc>
        <w:tc>
          <w:tcPr>
            <w:tcW w:w="2340" w:type="dxa"/>
            <w:tcMar>
              <w:top w:w="60" w:type="dxa"/>
              <w:left w:w="120" w:type="dxa"/>
              <w:bottom w:w="60" w:type="dxa"/>
              <w:right w:w="120" w:type="dxa"/>
            </w:tcMar>
            <w:vAlign w:val="center"/>
          </w:tcPr>
          <w:p w14:paraId="09026081" w14:textId="362A8009" w:rsidR="31E4B92B" w:rsidRPr="0014794D" w:rsidRDefault="78A837CE" w:rsidP="006E3D43">
            <w:pPr>
              <w:spacing w:line="360" w:lineRule="auto"/>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rPr>
            </w:pPr>
            <w:r w:rsidRPr="0014794D">
              <w:rPr>
                <w:rFonts w:ascii="Arial Narrow" w:eastAsia="Arial" w:hAnsi="Arial Narrow" w:cs="Arial"/>
              </w:rPr>
              <w:t>RGB Composite (8-bit)</w:t>
            </w:r>
          </w:p>
        </w:tc>
        <w:tc>
          <w:tcPr>
            <w:tcW w:w="5724" w:type="dxa"/>
            <w:tcMar>
              <w:top w:w="60" w:type="dxa"/>
              <w:left w:w="120" w:type="dxa"/>
              <w:bottom w:w="60" w:type="dxa"/>
              <w:right w:w="120" w:type="dxa"/>
            </w:tcMar>
            <w:vAlign w:val="center"/>
          </w:tcPr>
          <w:p w14:paraId="69DC72C0" w14:textId="32081C5F" w:rsidR="317A54F3" w:rsidRPr="0014794D" w:rsidRDefault="28F2770C" w:rsidP="006E3D43">
            <w:pPr>
              <w:spacing w:line="360" w:lineRule="auto"/>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rPr>
            </w:pPr>
            <w:r w:rsidRPr="0014794D">
              <w:rPr>
                <w:rFonts w:ascii="Arial Narrow" w:eastAsia="Arial" w:hAnsi="Arial Narrow" w:cs="Arial"/>
              </w:rPr>
              <w:t>Red-Green-Blue bands</w:t>
            </w:r>
            <w:r w:rsidR="78A837CE" w:rsidRPr="0014794D">
              <w:rPr>
                <w:rFonts w:ascii="Arial Narrow" w:eastAsia="Arial" w:hAnsi="Arial Narrow" w:cs="Arial"/>
              </w:rPr>
              <w:t>; linear stretch; rescale to 8-bit unsigned</w:t>
            </w:r>
          </w:p>
        </w:tc>
      </w:tr>
      <w:tr w:rsidR="31E4B92B" w:rsidRPr="0014794D" w14:paraId="7034C34D" w14:textId="77777777" w:rsidTr="006E3D43">
        <w:trPr>
          <w:trHeight w:val="300"/>
        </w:trPr>
        <w:tc>
          <w:tcPr>
            <w:cnfStyle w:val="001000000000" w:firstRow="0" w:lastRow="0" w:firstColumn="1" w:lastColumn="0" w:oddVBand="0" w:evenVBand="0" w:oddHBand="0" w:evenHBand="0" w:firstRowFirstColumn="0" w:firstRowLastColumn="0" w:lastRowFirstColumn="0" w:lastRowLastColumn="0"/>
            <w:tcW w:w="1173" w:type="dxa"/>
            <w:tcMar>
              <w:top w:w="60" w:type="dxa"/>
              <w:left w:w="120" w:type="dxa"/>
              <w:bottom w:w="60" w:type="dxa"/>
              <w:right w:w="120" w:type="dxa"/>
            </w:tcMar>
            <w:vAlign w:val="center"/>
          </w:tcPr>
          <w:p w14:paraId="175802CF" w14:textId="27F10FE6" w:rsidR="31E4B92B" w:rsidRPr="0014794D" w:rsidRDefault="78A837CE" w:rsidP="006E3D43">
            <w:pPr>
              <w:spacing w:line="360" w:lineRule="auto"/>
              <w:rPr>
                <w:rFonts w:ascii="Arial Narrow" w:eastAsia="Arial" w:hAnsi="Arial Narrow" w:cs="Arial"/>
              </w:rPr>
            </w:pPr>
            <w:r w:rsidRPr="0014794D">
              <w:rPr>
                <w:rFonts w:ascii="Arial Narrow" w:eastAsia="Arial" w:hAnsi="Arial Narrow" w:cs="Arial"/>
              </w:rPr>
              <w:t>4</w:t>
            </w:r>
          </w:p>
        </w:tc>
        <w:tc>
          <w:tcPr>
            <w:tcW w:w="2340" w:type="dxa"/>
            <w:tcMar>
              <w:top w:w="60" w:type="dxa"/>
              <w:left w:w="120" w:type="dxa"/>
              <w:bottom w:w="60" w:type="dxa"/>
              <w:right w:w="120" w:type="dxa"/>
            </w:tcMar>
            <w:vAlign w:val="center"/>
          </w:tcPr>
          <w:p w14:paraId="66F3DCB4" w14:textId="495BC512" w:rsidR="31E4B92B" w:rsidRPr="0014794D" w:rsidRDefault="78A837CE" w:rsidP="006E3D43">
            <w:pPr>
              <w:spacing w:line="360" w:lineRule="auto"/>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rPr>
            </w:pPr>
            <w:r w:rsidRPr="0014794D">
              <w:rPr>
                <w:rFonts w:ascii="Arial Narrow" w:eastAsia="Arial" w:hAnsi="Arial Narrow" w:cs="Arial"/>
              </w:rPr>
              <w:t>Deep Learning Detection</w:t>
            </w:r>
          </w:p>
        </w:tc>
        <w:tc>
          <w:tcPr>
            <w:tcW w:w="5724" w:type="dxa"/>
            <w:tcMar>
              <w:top w:w="60" w:type="dxa"/>
              <w:left w:w="120" w:type="dxa"/>
              <w:bottom w:w="60" w:type="dxa"/>
              <w:right w:w="120" w:type="dxa"/>
            </w:tcMar>
            <w:vAlign w:val="center"/>
          </w:tcPr>
          <w:p w14:paraId="1C500EE6" w14:textId="7EE19BDD" w:rsidR="31E4B92B" w:rsidRPr="0014794D" w:rsidRDefault="78A837CE" w:rsidP="006E3D43">
            <w:pPr>
              <w:spacing w:line="360" w:lineRule="auto"/>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rPr>
            </w:pPr>
            <w:r w:rsidRPr="0014794D">
              <w:rPr>
                <w:rFonts w:ascii="Arial Narrow" w:eastAsia="Arial" w:hAnsi="Arial Narrow" w:cs="Arial"/>
              </w:rPr>
              <w:t>Esri Mask R-CNN (Africa/USA model); sliding window inference</w:t>
            </w:r>
          </w:p>
        </w:tc>
      </w:tr>
      <w:tr w:rsidR="31E4B92B" w:rsidRPr="0014794D" w14:paraId="23F4322E" w14:textId="77777777" w:rsidTr="006E3D4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73" w:type="dxa"/>
            <w:tcMar>
              <w:top w:w="60" w:type="dxa"/>
              <w:left w:w="120" w:type="dxa"/>
              <w:bottom w:w="60" w:type="dxa"/>
              <w:right w:w="120" w:type="dxa"/>
            </w:tcMar>
            <w:vAlign w:val="center"/>
          </w:tcPr>
          <w:p w14:paraId="7CD96B61" w14:textId="6F42452F" w:rsidR="31E4B92B" w:rsidRPr="0014794D" w:rsidRDefault="78A837CE" w:rsidP="006E3D43">
            <w:pPr>
              <w:spacing w:line="360" w:lineRule="auto"/>
              <w:rPr>
                <w:rFonts w:ascii="Arial Narrow" w:eastAsia="Arial" w:hAnsi="Arial Narrow" w:cs="Arial"/>
              </w:rPr>
            </w:pPr>
            <w:r w:rsidRPr="0014794D">
              <w:rPr>
                <w:rFonts w:ascii="Arial Narrow" w:eastAsia="Arial" w:hAnsi="Arial Narrow" w:cs="Arial"/>
              </w:rPr>
              <w:lastRenderedPageBreak/>
              <w:t>5</w:t>
            </w:r>
          </w:p>
        </w:tc>
        <w:tc>
          <w:tcPr>
            <w:tcW w:w="2340" w:type="dxa"/>
            <w:tcMar>
              <w:top w:w="60" w:type="dxa"/>
              <w:left w:w="120" w:type="dxa"/>
              <w:bottom w:w="60" w:type="dxa"/>
              <w:right w:w="120" w:type="dxa"/>
            </w:tcMar>
            <w:vAlign w:val="center"/>
          </w:tcPr>
          <w:p w14:paraId="5DEC62D3" w14:textId="43637D0C" w:rsidR="31E4B92B" w:rsidRPr="0014794D" w:rsidRDefault="78A837CE" w:rsidP="006E3D43">
            <w:pPr>
              <w:spacing w:line="360" w:lineRule="auto"/>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rPr>
            </w:pPr>
            <w:r w:rsidRPr="0014794D">
              <w:rPr>
                <w:rFonts w:ascii="Arial Narrow" w:eastAsia="Arial" w:hAnsi="Arial Narrow" w:cs="Arial"/>
              </w:rPr>
              <w:t>Post-processing</w:t>
            </w:r>
          </w:p>
        </w:tc>
        <w:tc>
          <w:tcPr>
            <w:tcW w:w="5724" w:type="dxa"/>
            <w:tcMar>
              <w:top w:w="60" w:type="dxa"/>
              <w:left w:w="120" w:type="dxa"/>
              <w:bottom w:w="60" w:type="dxa"/>
              <w:right w:w="120" w:type="dxa"/>
            </w:tcMar>
            <w:vAlign w:val="center"/>
          </w:tcPr>
          <w:p w14:paraId="1DDD82F4" w14:textId="61453145" w:rsidR="31E4B92B" w:rsidRPr="0014794D" w:rsidRDefault="78A837CE" w:rsidP="006E3D43">
            <w:pPr>
              <w:spacing w:line="360" w:lineRule="auto"/>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rPr>
            </w:pPr>
            <w:r w:rsidRPr="0014794D">
              <w:rPr>
                <w:rFonts w:ascii="Arial Narrow" w:eastAsia="Arial" w:hAnsi="Arial Narrow" w:cs="Arial"/>
              </w:rPr>
              <w:t>AOI clip, area filter, Repair Geometry, Regularize Building Footprints</w:t>
            </w:r>
          </w:p>
        </w:tc>
      </w:tr>
      <w:tr w:rsidR="31E4B92B" w:rsidRPr="0014794D" w14:paraId="5F6A4758" w14:textId="77777777" w:rsidTr="006E3D43">
        <w:trPr>
          <w:trHeight w:val="300"/>
        </w:trPr>
        <w:tc>
          <w:tcPr>
            <w:cnfStyle w:val="001000000000" w:firstRow="0" w:lastRow="0" w:firstColumn="1" w:lastColumn="0" w:oddVBand="0" w:evenVBand="0" w:oddHBand="0" w:evenHBand="0" w:firstRowFirstColumn="0" w:firstRowLastColumn="0" w:lastRowFirstColumn="0" w:lastRowLastColumn="0"/>
            <w:tcW w:w="1173" w:type="dxa"/>
            <w:tcMar>
              <w:top w:w="60" w:type="dxa"/>
              <w:left w:w="120" w:type="dxa"/>
              <w:bottom w:w="60" w:type="dxa"/>
              <w:right w:w="120" w:type="dxa"/>
            </w:tcMar>
            <w:vAlign w:val="center"/>
          </w:tcPr>
          <w:p w14:paraId="6511EC0D" w14:textId="54F84AA3" w:rsidR="31E4B92B" w:rsidRPr="0014794D" w:rsidRDefault="78A837CE" w:rsidP="006E3D43">
            <w:pPr>
              <w:spacing w:line="360" w:lineRule="auto"/>
              <w:rPr>
                <w:rFonts w:ascii="Arial Narrow" w:eastAsia="Arial" w:hAnsi="Arial Narrow" w:cs="Arial"/>
              </w:rPr>
            </w:pPr>
            <w:r w:rsidRPr="0014794D">
              <w:rPr>
                <w:rFonts w:ascii="Arial Narrow" w:eastAsia="Arial" w:hAnsi="Arial Narrow" w:cs="Arial"/>
              </w:rPr>
              <w:t>6</w:t>
            </w:r>
          </w:p>
        </w:tc>
        <w:tc>
          <w:tcPr>
            <w:tcW w:w="2340" w:type="dxa"/>
            <w:tcMar>
              <w:top w:w="60" w:type="dxa"/>
              <w:left w:w="120" w:type="dxa"/>
              <w:bottom w:w="60" w:type="dxa"/>
              <w:right w:w="120" w:type="dxa"/>
            </w:tcMar>
            <w:vAlign w:val="center"/>
          </w:tcPr>
          <w:p w14:paraId="659366A3" w14:textId="49561D43" w:rsidR="31E4B92B" w:rsidRPr="0014794D" w:rsidRDefault="78A837CE" w:rsidP="006E3D43">
            <w:pPr>
              <w:spacing w:line="360" w:lineRule="auto"/>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rPr>
            </w:pPr>
            <w:r w:rsidRPr="0014794D">
              <w:rPr>
                <w:rFonts w:ascii="Arial Narrow" w:eastAsia="Arial" w:hAnsi="Arial Narrow" w:cs="Arial"/>
              </w:rPr>
              <w:t>Manual QA/QC</w:t>
            </w:r>
          </w:p>
        </w:tc>
        <w:tc>
          <w:tcPr>
            <w:tcW w:w="5724" w:type="dxa"/>
            <w:tcMar>
              <w:top w:w="60" w:type="dxa"/>
              <w:left w:w="120" w:type="dxa"/>
              <w:bottom w:w="60" w:type="dxa"/>
              <w:right w:w="120" w:type="dxa"/>
            </w:tcMar>
            <w:vAlign w:val="center"/>
          </w:tcPr>
          <w:p w14:paraId="749FFA17" w14:textId="0CBF4BB6" w:rsidR="31E4B92B" w:rsidRPr="0014794D" w:rsidRDefault="78A837CE" w:rsidP="006E3D43">
            <w:pPr>
              <w:spacing w:line="360" w:lineRule="auto"/>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rPr>
            </w:pPr>
            <w:r w:rsidRPr="0014794D">
              <w:rPr>
                <w:rFonts w:ascii="Arial Narrow" w:eastAsia="Arial" w:hAnsi="Arial Narrow" w:cs="Arial"/>
              </w:rPr>
              <w:t>Systematic editing; add missed, remove false positives</w:t>
            </w:r>
          </w:p>
        </w:tc>
      </w:tr>
      <w:tr w:rsidR="31E4B92B" w:rsidRPr="0014794D" w14:paraId="281801A8" w14:textId="77777777" w:rsidTr="006E3D4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73" w:type="dxa"/>
            <w:tcMar>
              <w:top w:w="60" w:type="dxa"/>
              <w:left w:w="120" w:type="dxa"/>
              <w:bottom w:w="60" w:type="dxa"/>
              <w:right w:w="120" w:type="dxa"/>
            </w:tcMar>
            <w:vAlign w:val="center"/>
          </w:tcPr>
          <w:p w14:paraId="2A9FDC39" w14:textId="50A1CEEF" w:rsidR="31E4B92B" w:rsidRPr="0014794D" w:rsidRDefault="78A837CE" w:rsidP="006E3D43">
            <w:pPr>
              <w:spacing w:line="360" w:lineRule="auto"/>
              <w:rPr>
                <w:rFonts w:ascii="Arial Narrow" w:eastAsia="Arial" w:hAnsi="Arial Narrow" w:cs="Arial"/>
              </w:rPr>
            </w:pPr>
            <w:r w:rsidRPr="0014794D">
              <w:rPr>
                <w:rFonts w:ascii="Arial Narrow" w:eastAsia="Arial" w:hAnsi="Arial Narrow" w:cs="Arial"/>
              </w:rPr>
              <w:t>7</w:t>
            </w:r>
          </w:p>
        </w:tc>
        <w:tc>
          <w:tcPr>
            <w:tcW w:w="2340" w:type="dxa"/>
            <w:tcMar>
              <w:top w:w="60" w:type="dxa"/>
              <w:left w:w="120" w:type="dxa"/>
              <w:bottom w:w="60" w:type="dxa"/>
              <w:right w:w="120" w:type="dxa"/>
            </w:tcMar>
            <w:vAlign w:val="center"/>
          </w:tcPr>
          <w:p w14:paraId="0062A7D2" w14:textId="6614D21E" w:rsidR="31E4B92B" w:rsidRPr="0014794D" w:rsidRDefault="78A837CE" w:rsidP="006E3D43">
            <w:pPr>
              <w:spacing w:line="360" w:lineRule="auto"/>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rPr>
            </w:pPr>
            <w:r w:rsidRPr="0014794D">
              <w:rPr>
                <w:rFonts w:ascii="Arial Narrow" w:eastAsia="Arial" w:hAnsi="Arial Narrow" w:cs="Arial"/>
              </w:rPr>
              <w:t>Metric Computation</w:t>
            </w:r>
          </w:p>
        </w:tc>
        <w:tc>
          <w:tcPr>
            <w:tcW w:w="5724" w:type="dxa"/>
            <w:tcMar>
              <w:top w:w="60" w:type="dxa"/>
              <w:left w:w="120" w:type="dxa"/>
              <w:bottom w:w="60" w:type="dxa"/>
              <w:right w:w="120" w:type="dxa"/>
            </w:tcMar>
            <w:vAlign w:val="center"/>
          </w:tcPr>
          <w:p w14:paraId="73CD7AB7" w14:textId="4EE437BE" w:rsidR="31E4B92B" w:rsidRPr="0014794D" w:rsidRDefault="78A837CE" w:rsidP="006E3D43">
            <w:pPr>
              <w:spacing w:line="360" w:lineRule="auto"/>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rPr>
            </w:pPr>
            <w:r w:rsidRPr="0014794D">
              <w:rPr>
                <w:rFonts w:ascii="Arial Narrow" w:eastAsia="Arial" w:hAnsi="Arial Narrow" w:cs="Arial"/>
              </w:rPr>
              <w:t>Building count, density, coverage, CAGR; R statistical analysis pipeline</w:t>
            </w:r>
          </w:p>
        </w:tc>
      </w:tr>
    </w:tbl>
    <w:p w14:paraId="307F7221" w14:textId="4FBA849C" w:rsidR="31E4B92B" w:rsidRPr="006E3D43" w:rsidRDefault="31E4B92B" w:rsidP="31E4B92B">
      <w:pPr>
        <w:spacing w:after="120" w:line="276" w:lineRule="auto"/>
        <w:jc w:val="both"/>
        <w:rPr>
          <w:rFonts w:ascii="Arial" w:eastAsia="Arial" w:hAnsi="Arial" w:cs="Arial"/>
          <w:i/>
          <w:iCs/>
        </w:rPr>
      </w:pPr>
    </w:p>
    <w:p w14:paraId="78BECDBD" w14:textId="01FAA740" w:rsidR="6F342662" w:rsidRPr="006E3D43" w:rsidRDefault="69E4B64C" w:rsidP="006E3D43">
      <w:pPr>
        <w:pStyle w:val="Head3"/>
        <w:rPr>
          <w:b w:val="0"/>
        </w:rPr>
      </w:pPr>
      <w:bookmarkStart w:id="66" w:name="_Toc228290451"/>
      <w:r w:rsidRPr="006E3D43">
        <w:t>Image Preprocessing</w:t>
      </w:r>
      <w:bookmarkEnd w:id="66"/>
    </w:p>
    <w:p w14:paraId="11DC5087" w14:textId="487563BB" w:rsidR="6F342662" w:rsidRPr="006E3D43" w:rsidRDefault="69E4B64C" w:rsidP="006E3D43">
      <w:pPr>
        <w:pStyle w:val="Head4"/>
      </w:pPr>
      <w:bookmarkStart w:id="67" w:name="_Toc228290452"/>
      <w:r w:rsidRPr="006E3D43">
        <w:t>Pan-sharpening</w:t>
      </w:r>
      <w:bookmarkEnd w:id="67"/>
    </w:p>
    <w:p w14:paraId="1C9EB77B" w14:textId="0E589563" w:rsidR="6F342662" w:rsidRPr="006E3D43" w:rsidRDefault="69E4B64C" w:rsidP="0014794D">
      <w:pPr>
        <w:spacing w:after="120"/>
        <w:ind w:firstLine="720"/>
        <w:rPr>
          <w:rFonts w:eastAsia="Times New Roman" w:cs="Times New Roman"/>
        </w:rPr>
      </w:pPr>
      <w:r w:rsidRPr="006E3D43">
        <w:rPr>
          <w:rFonts w:eastAsia="Times New Roman" w:cs="Times New Roman"/>
        </w:rPr>
        <w:t>Pan-sharpening was performed in ArcGIS Pro (version 3.</w:t>
      </w:r>
      <w:r w:rsidR="48CF2027" w:rsidRPr="006E3D43">
        <w:rPr>
          <w:rFonts w:eastAsia="Times New Roman" w:cs="Times New Roman"/>
        </w:rPr>
        <w:t>5.6</w:t>
      </w:r>
      <w:r w:rsidRPr="006E3D43">
        <w:rPr>
          <w:rFonts w:eastAsia="Times New Roman" w:cs="Times New Roman"/>
        </w:rPr>
        <w:t xml:space="preserve">, Image Analyst extension) using the Gram-Schmidt spectral sharpening algorithm, which is considered optimal for WorldView-2 and WorldView-3 multispectral data due to its minimal color distortion at full panchromatic resolution. The algorithm produces an output at the spatial resolution of the panchromatic band (0.31 m for WorldView-3; 0.40–0.46 m for WorldView-2 after resampling; 0.61 m for QuickBird-2) with spectral content from all multispectral bands. </w:t>
      </w:r>
    </w:p>
    <w:p w14:paraId="1740B89F" w14:textId="2B09F7DE" w:rsidR="31E4B92B" w:rsidRDefault="31E4B92B" w:rsidP="006E3D43">
      <w:pPr>
        <w:spacing w:after="80"/>
        <w:jc w:val="both"/>
        <w:rPr>
          <w:rFonts w:ascii="Arial" w:eastAsia="Arial" w:hAnsi="Arial" w:cs="Arial"/>
          <w:sz w:val="22"/>
          <w:szCs w:val="22"/>
        </w:rPr>
      </w:pPr>
    </w:p>
    <w:p w14:paraId="5ED5DD94" w14:textId="61B3937B" w:rsidR="6F342662" w:rsidRPr="006E3D43" w:rsidRDefault="69E4B64C" w:rsidP="006E3D43">
      <w:pPr>
        <w:pStyle w:val="Head4"/>
      </w:pPr>
      <w:bookmarkStart w:id="68" w:name="_Toc228290453"/>
      <w:r w:rsidRPr="006E3D43">
        <w:t>RGB Composite</w:t>
      </w:r>
      <w:bookmarkEnd w:id="68"/>
      <w:r w:rsidRPr="006E3D43">
        <w:t xml:space="preserve"> </w:t>
      </w:r>
    </w:p>
    <w:p w14:paraId="2CB7E197" w14:textId="65E04B60" w:rsidR="6F342662" w:rsidRPr="006E3D43" w:rsidRDefault="69E4B64C" w:rsidP="0014794D">
      <w:pPr>
        <w:spacing w:after="120"/>
        <w:ind w:firstLine="720"/>
        <w:rPr>
          <w:rFonts w:eastAsia="Times New Roman" w:cs="Times New Roman"/>
        </w:rPr>
      </w:pPr>
      <w:r w:rsidRPr="006E3D43">
        <w:rPr>
          <w:rFonts w:eastAsia="Times New Roman" w:cs="Times New Roman"/>
        </w:rPr>
        <w:t>Following pan-sharpening, a three-band Red-Green-Blue (RGB) composite was prepared for model input. For both WorldView-2 and WorldView-3 sensors, the correct band assignments are: Red = Band 5, Green = Band 3, Blue = Band 2. This is a non-default ordering that must be explicitly specified; use of default band ordering (R=1, G=2, B=3) produces an incorrect false-color composite that substantially degrades model performance.</w:t>
      </w:r>
    </w:p>
    <w:p w14:paraId="6C2E2D4A" w14:textId="096E8BF0" w:rsidR="6F342662" w:rsidRPr="006E3D43" w:rsidRDefault="69E4B64C" w:rsidP="006E3D43">
      <w:pPr>
        <w:spacing w:after="80"/>
        <w:jc w:val="both"/>
        <w:rPr>
          <w:rFonts w:eastAsia="Times New Roman" w:cs="Times New Roman"/>
        </w:rPr>
      </w:pPr>
      <w:r w:rsidRPr="006E3D43">
        <w:rPr>
          <w:rFonts w:eastAsia="Times New Roman" w:cs="Times New Roman"/>
        </w:rPr>
        <w:t xml:space="preserve"> </w:t>
      </w:r>
    </w:p>
    <w:p w14:paraId="148CD8FC" w14:textId="418566B4" w:rsidR="6F342662" w:rsidRPr="006E3D43" w:rsidRDefault="69E4B64C" w:rsidP="006E3D43">
      <w:pPr>
        <w:spacing w:after="120"/>
        <w:jc w:val="both"/>
        <w:rPr>
          <w:rFonts w:ascii="Arial" w:eastAsia="Arial" w:hAnsi="Arial" w:cs="Arial"/>
          <w:b/>
          <w:bCs/>
          <w:i/>
          <w:iCs/>
        </w:rPr>
      </w:pPr>
      <w:r w:rsidRPr="006E3D43">
        <w:rPr>
          <w:rFonts w:ascii="Arial" w:eastAsia="Arial" w:hAnsi="Arial" w:cs="Arial"/>
          <w:b/>
          <w:bCs/>
          <w:i/>
          <w:iCs/>
        </w:rPr>
        <w:lastRenderedPageBreak/>
        <w:t>Deep Learning Building Detection</w:t>
      </w:r>
    </w:p>
    <w:p w14:paraId="4C6F883E" w14:textId="01BF85F2" w:rsidR="6F342662" w:rsidRPr="006E3D43" w:rsidRDefault="69E4B64C" w:rsidP="006E3D43">
      <w:pPr>
        <w:pStyle w:val="Head3"/>
        <w:rPr>
          <w:b w:val="0"/>
        </w:rPr>
      </w:pPr>
      <w:bookmarkStart w:id="69" w:name="_Toc228290454"/>
      <w:r w:rsidRPr="006E3D43">
        <w:t>Model Selection</w:t>
      </w:r>
      <w:bookmarkEnd w:id="69"/>
    </w:p>
    <w:p w14:paraId="450ACA6B" w14:textId="38075954" w:rsidR="6F342662" w:rsidRPr="006E3D43" w:rsidRDefault="69E4B64C" w:rsidP="0014794D">
      <w:pPr>
        <w:spacing w:after="120"/>
        <w:ind w:firstLine="720"/>
        <w:rPr>
          <w:rFonts w:eastAsia="Times New Roman" w:cs="Times New Roman"/>
        </w:rPr>
      </w:pPr>
      <w:r w:rsidRPr="006E3D43">
        <w:rPr>
          <w:rFonts w:eastAsia="Times New Roman" w:cs="Times New Roman"/>
        </w:rPr>
        <w:t xml:space="preserve">Two Esri pretrained Mask R-CNN models were evaluated across </w:t>
      </w:r>
      <w:proofErr w:type="gramStart"/>
      <w:r w:rsidRPr="006E3D43">
        <w:rPr>
          <w:rFonts w:eastAsia="Times New Roman" w:cs="Times New Roman"/>
        </w:rPr>
        <w:t>the study</w:t>
      </w:r>
      <w:proofErr w:type="gramEnd"/>
      <w:r w:rsidRPr="006E3D43">
        <w:rPr>
          <w:rFonts w:eastAsia="Times New Roman" w:cs="Times New Roman"/>
        </w:rPr>
        <w:t xml:space="preserve"> sites. The Africa Building Footprint Extraction model (</w:t>
      </w:r>
      <w:proofErr w:type="spellStart"/>
      <w:r w:rsidRPr="006E3D43">
        <w:rPr>
          <w:rFonts w:eastAsia="Times New Roman" w:cs="Times New Roman"/>
        </w:rPr>
        <w:t>BuildingFootprintExtraction_Africa.dlpk</w:t>
      </w:r>
      <w:proofErr w:type="spellEnd"/>
      <w:r w:rsidRPr="006E3D43">
        <w:rPr>
          <w:rFonts w:eastAsia="Times New Roman" w:cs="Times New Roman"/>
        </w:rPr>
        <w:t>) was applied at Solomon Islands and Fiji sites. This model uses a ResNet-50 + Feature Pyramid Network backbone trained on sub-mete</w:t>
      </w:r>
      <w:r w:rsidR="688071FB" w:rsidRPr="006E3D43">
        <w:rPr>
          <w:rFonts w:eastAsia="Times New Roman" w:cs="Times New Roman"/>
        </w:rPr>
        <w:t>r</w:t>
      </w:r>
      <w:r w:rsidRPr="006E3D43">
        <w:rPr>
          <w:rFonts w:eastAsia="Times New Roman" w:cs="Times New Roman"/>
        </w:rPr>
        <w:t xml:space="preserve"> imagery from diverse African urban environments and achieves a reported average precision (AP) of 0.786 on its validation dataset. It was selected for tropical </w:t>
      </w:r>
      <w:proofErr w:type="gramStart"/>
      <w:r w:rsidRPr="006E3D43">
        <w:rPr>
          <w:rFonts w:eastAsia="Times New Roman" w:cs="Times New Roman"/>
        </w:rPr>
        <w:t>Pacific island</w:t>
      </w:r>
      <w:proofErr w:type="gramEnd"/>
      <w:r w:rsidRPr="006E3D43">
        <w:rPr>
          <w:rFonts w:eastAsia="Times New Roman" w:cs="Times New Roman"/>
        </w:rPr>
        <w:t xml:space="preserve"> applications based on similarity in building density, roofing material diversity, and informal settlement patterns between African and Melanesian urban typologies.</w:t>
      </w:r>
    </w:p>
    <w:p w14:paraId="423230E3" w14:textId="7C1ED611" w:rsidR="6F342662" w:rsidRPr="006E3D43" w:rsidRDefault="69E4B64C" w:rsidP="0014794D">
      <w:pPr>
        <w:spacing w:after="120"/>
        <w:ind w:firstLine="720"/>
        <w:rPr>
          <w:rFonts w:eastAsia="Times New Roman" w:cs="Times New Roman"/>
        </w:rPr>
      </w:pPr>
      <w:r w:rsidRPr="006E3D43">
        <w:rPr>
          <w:rFonts w:eastAsia="Times New Roman" w:cs="Times New Roman"/>
        </w:rPr>
        <w:t xml:space="preserve">For the Papua New Guinea sites, all three available Esri regional models </w:t>
      </w:r>
      <w:r w:rsidR="47AAF22C" w:rsidRPr="006E3D43">
        <w:rPr>
          <w:rFonts w:eastAsia="Times New Roman" w:cs="Times New Roman"/>
        </w:rPr>
        <w:t>-</w:t>
      </w:r>
      <w:r w:rsidRPr="006E3D43">
        <w:rPr>
          <w:rFonts w:eastAsia="Times New Roman" w:cs="Times New Roman"/>
        </w:rPr>
        <w:t xml:space="preserve"> Africa, Australia, and USA </w:t>
      </w:r>
      <w:r w:rsidR="48DBA126" w:rsidRPr="006E3D43">
        <w:rPr>
          <w:rFonts w:eastAsia="Times New Roman" w:cs="Times New Roman"/>
        </w:rPr>
        <w:t>-</w:t>
      </w:r>
      <w:r w:rsidRPr="006E3D43">
        <w:rPr>
          <w:rFonts w:eastAsia="Times New Roman" w:cs="Times New Roman"/>
        </w:rPr>
        <w:t xml:space="preserve"> were evaluated. The USA Building Footprint Extraction model produced the best detection results at the PNG sites, particularly at the challenging 8 Mile Settlement. This is attributed in part to the USA model's training on diverse suburban typologies including dry, low-vegetation landscapes analogous to parts of the dry season Port Moresby environment. Despite this improvement, PNG detection results </w:t>
      </w:r>
      <w:r w:rsidR="1599AC1D" w:rsidRPr="006E3D43">
        <w:rPr>
          <w:rFonts w:eastAsia="Times New Roman" w:cs="Times New Roman"/>
        </w:rPr>
        <w:t>still</w:t>
      </w:r>
      <w:r w:rsidRPr="006E3D43">
        <w:rPr>
          <w:rFonts w:eastAsia="Times New Roman" w:cs="Times New Roman"/>
        </w:rPr>
        <w:t xml:space="preserve"> required extensive manual editing.</w:t>
      </w:r>
    </w:p>
    <w:p w14:paraId="19790275" w14:textId="047E9DFB" w:rsidR="6F342662" w:rsidRDefault="69E4B64C" w:rsidP="006E3D43">
      <w:pPr>
        <w:spacing w:after="80"/>
        <w:jc w:val="both"/>
        <w:rPr>
          <w:rFonts w:ascii="Arial" w:eastAsia="Arial" w:hAnsi="Arial" w:cs="Arial"/>
          <w:sz w:val="22"/>
          <w:szCs w:val="22"/>
        </w:rPr>
      </w:pPr>
      <w:r w:rsidRPr="68F659C6">
        <w:rPr>
          <w:rFonts w:ascii="Arial" w:eastAsia="Arial" w:hAnsi="Arial" w:cs="Arial"/>
          <w:sz w:val="22"/>
          <w:szCs w:val="22"/>
        </w:rPr>
        <w:t xml:space="preserve"> </w:t>
      </w:r>
    </w:p>
    <w:p w14:paraId="5724E62F" w14:textId="6ED2AC12" w:rsidR="6F342662" w:rsidRPr="006E3D43" w:rsidRDefault="69E4B64C" w:rsidP="006E3D43">
      <w:pPr>
        <w:pStyle w:val="Head3"/>
        <w:rPr>
          <w:b w:val="0"/>
        </w:rPr>
      </w:pPr>
      <w:bookmarkStart w:id="70" w:name="_Toc228290455"/>
      <w:r w:rsidRPr="006E3D43">
        <w:t>Detection Parameters</w:t>
      </w:r>
      <w:bookmarkEnd w:id="70"/>
    </w:p>
    <w:p w14:paraId="47493F5F" w14:textId="632406C8" w:rsidR="6F342662" w:rsidRPr="006E3D43" w:rsidRDefault="69E4B64C" w:rsidP="006E3D43">
      <w:pPr>
        <w:spacing w:after="120"/>
        <w:ind w:firstLine="720"/>
        <w:jc w:val="both"/>
        <w:rPr>
          <w:rFonts w:eastAsia="Times New Roman" w:cs="Times New Roman"/>
        </w:rPr>
      </w:pPr>
      <w:r w:rsidRPr="006E3D43">
        <w:rPr>
          <w:rFonts w:eastAsia="Times New Roman" w:cs="Times New Roman"/>
        </w:rPr>
        <w:t xml:space="preserve">The Detect Objects Using Deep Learning tool in ArcGIS Pro was used for all inference runs. </w:t>
      </w:r>
      <w:r w:rsidR="00F666F9">
        <w:rPr>
          <w:rFonts w:eastAsia="Times New Roman" w:cs="Times New Roman"/>
        </w:rPr>
        <w:fldChar w:fldCharType="begin"/>
      </w:r>
      <w:r w:rsidR="00F666F9">
        <w:rPr>
          <w:rFonts w:eastAsia="Times New Roman" w:cs="Times New Roman"/>
        </w:rPr>
        <w:instrText xml:space="preserve"> REF _Ref227325654 \h </w:instrText>
      </w:r>
      <w:r w:rsidR="00F666F9">
        <w:rPr>
          <w:rFonts w:eastAsia="Times New Roman" w:cs="Times New Roman"/>
        </w:rPr>
      </w:r>
      <w:r w:rsidR="00F666F9">
        <w:rPr>
          <w:rFonts w:eastAsia="Times New Roman" w:cs="Times New Roman"/>
        </w:rPr>
        <w:fldChar w:fldCharType="separate"/>
      </w:r>
      <w:r w:rsidR="00F666F9">
        <w:t xml:space="preserve">Table </w:t>
      </w:r>
      <w:r w:rsidR="00F666F9">
        <w:rPr>
          <w:noProof/>
        </w:rPr>
        <w:t>6</w:t>
      </w:r>
      <w:r w:rsidR="00F666F9">
        <w:rPr>
          <w:rFonts w:eastAsia="Times New Roman" w:cs="Times New Roman"/>
        </w:rPr>
        <w:fldChar w:fldCharType="end"/>
      </w:r>
      <w:r w:rsidRPr="006E3D43">
        <w:rPr>
          <w:rFonts w:eastAsia="Times New Roman" w:cs="Times New Roman"/>
        </w:rPr>
        <w:t xml:space="preserve"> </w:t>
      </w:r>
      <w:r w:rsidR="0FCC4898" w:rsidRPr="006E3D43">
        <w:rPr>
          <w:rFonts w:eastAsia="Times New Roman" w:cs="Times New Roman"/>
        </w:rPr>
        <w:t>summari</w:t>
      </w:r>
      <w:r w:rsidR="3F21BC64" w:rsidRPr="68F659C6">
        <w:rPr>
          <w:rFonts w:eastAsia="Times New Roman" w:cs="Times New Roman"/>
        </w:rPr>
        <w:t>z</w:t>
      </w:r>
      <w:r w:rsidR="0FCC4898" w:rsidRPr="006E3D43">
        <w:rPr>
          <w:rFonts w:eastAsia="Times New Roman" w:cs="Times New Roman"/>
        </w:rPr>
        <w:t>es</w:t>
      </w:r>
      <w:r w:rsidRPr="006E3D43">
        <w:rPr>
          <w:rFonts w:eastAsia="Times New Roman" w:cs="Times New Roman"/>
        </w:rPr>
        <w:t xml:space="preserve"> the final validated detection parameters applied at each country group. These parameters reflect iterative testing and represent the configurations that balanced detection completeness against computational feasibility on CPU-only hardware.</w:t>
      </w:r>
    </w:p>
    <w:p w14:paraId="37031FEF" w14:textId="4330BD9E" w:rsidR="6F342662" w:rsidRPr="00D16290" w:rsidRDefault="00F666F9" w:rsidP="006E3D43">
      <w:pPr>
        <w:pStyle w:val="Caption"/>
        <w:rPr>
          <w:rFonts w:ascii="Arial Narrow" w:hAnsi="Arial Narrow"/>
          <w:i/>
          <w:color w:val="BFBFBF" w:themeColor="background1" w:themeShade="BF"/>
          <w:szCs w:val="24"/>
        </w:rPr>
      </w:pPr>
      <w:bookmarkStart w:id="71" w:name="_Ref227325654"/>
      <w:bookmarkStart w:id="72" w:name="_Toc228290773"/>
      <w:r w:rsidRPr="00D16290">
        <w:rPr>
          <w:rFonts w:ascii="Arial Narrow" w:hAnsi="Arial Narrow"/>
          <w:szCs w:val="24"/>
        </w:rPr>
        <w:lastRenderedPageBreak/>
        <w:t xml:space="preserve">Table </w:t>
      </w:r>
      <w:r w:rsidRPr="00D16290">
        <w:rPr>
          <w:rFonts w:ascii="Arial Narrow" w:hAnsi="Arial Narrow"/>
          <w:szCs w:val="24"/>
        </w:rPr>
        <w:fldChar w:fldCharType="begin"/>
      </w:r>
      <w:r w:rsidRPr="00D16290">
        <w:rPr>
          <w:rFonts w:ascii="Arial Narrow" w:hAnsi="Arial Narrow"/>
          <w:szCs w:val="24"/>
        </w:rPr>
        <w:instrText xml:space="preserve"> SEQ Table \* ARABIC </w:instrText>
      </w:r>
      <w:r w:rsidRPr="00D16290">
        <w:rPr>
          <w:rFonts w:ascii="Arial Narrow" w:hAnsi="Arial Narrow"/>
          <w:szCs w:val="24"/>
        </w:rPr>
        <w:fldChar w:fldCharType="separate"/>
      </w:r>
      <w:r w:rsidRPr="00D16290">
        <w:rPr>
          <w:rFonts w:ascii="Arial Narrow" w:hAnsi="Arial Narrow"/>
          <w:noProof/>
          <w:szCs w:val="24"/>
        </w:rPr>
        <w:t>6</w:t>
      </w:r>
      <w:r w:rsidRPr="00D16290">
        <w:rPr>
          <w:rFonts w:ascii="Arial Narrow" w:hAnsi="Arial Narrow"/>
          <w:szCs w:val="24"/>
        </w:rPr>
        <w:fldChar w:fldCharType="end"/>
      </w:r>
      <w:bookmarkEnd w:id="71"/>
      <w:r w:rsidRPr="00D16290">
        <w:rPr>
          <w:rFonts w:ascii="Arial Narrow" w:hAnsi="Arial Narrow"/>
          <w:szCs w:val="24"/>
        </w:rPr>
        <w:t xml:space="preserve">. Deep learning detection parameters applied by country </w:t>
      </w:r>
      <w:proofErr w:type="gramStart"/>
      <w:r w:rsidRPr="00D16290">
        <w:rPr>
          <w:rFonts w:ascii="Arial Narrow" w:hAnsi="Arial Narrow"/>
          <w:szCs w:val="24"/>
        </w:rPr>
        <w:t>group</w:t>
      </w:r>
      <w:proofErr w:type="gramEnd"/>
      <w:r w:rsidRPr="00D16290">
        <w:rPr>
          <w:rFonts w:ascii="Arial Narrow" w:hAnsi="Arial Narrow"/>
          <w:szCs w:val="24"/>
        </w:rPr>
        <w:t>. Lower confidence threshold at PNG sites was necessary to maximize recall under dense canopy cover.</w:t>
      </w:r>
      <w:bookmarkEnd w:id="72"/>
      <w:r w:rsidRPr="00D16290" w:rsidDel="00F666F9">
        <w:rPr>
          <w:rFonts w:ascii="Arial Narrow" w:eastAsia="Arial" w:hAnsi="Arial Narrow" w:cs="Arial"/>
          <w:szCs w:val="24"/>
        </w:rPr>
        <w:t xml:space="preserve"> </w:t>
      </w:r>
    </w:p>
    <w:tbl>
      <w:tblPr>
        <w:tblStyle w:val="PlainTable1"/>
        <w:tblW w:w="0" w:type="auto"/>
        <w:tblLook w:val="04A0" w:firstRow="1" w:lastRow="0" w:firstColumn="1" w:lastColumn="0" w:noHBand="0" w:noVBand="1"/>
      </w:tblPr>
      <w:tblGrid>
        <w:gridCol w:w="2247"/>
        <w:gridCol w:w="1755"/>
        <w:gridCol w:w="2932"/>
        <w:gridCol w:w="2406"/>
        <w:gridCol w:w="10"/>
      </w:tblGrid>
      <w:tr w:rsidR="31E4B92B" w:rsidRPr="00D16290" w14:paraId="57775CD6" w14:textId="77777777" w:rsidTr="006E3D43">
        <w:trPr>
          <w:gridAfter w:val="1"/>
          <w:cnfStyle w:val="100000000000" w:firstRow="1" w:lastRow="0" w:firstColumn="0" w:lastColumn="0" w:oddVBand="0" w:evenVBand="0" w:oddHBand="0" w:evenHBand="0" w:firstRowFirstColumn="0" w:firstRowLastColumn="0" w:lastRowFirstColumn="0" w:lastRowLastColumn="0"/>
          <w:wAfter w:w="10" w:type="dxa"/>
          <w:trHeight w:val="300"/>
        </w:trPr>
        <w:tc>
          <w:tcPr>
            <w:cnfStyle w:val="001000000000" w:firstRow="0" w:lastRow="0" w:firstColumn="1" w:lastColumn="0" w:oddVBand="0" w:evenVBand="0" w:oddHBand="0" w:evenHBand="0" w:firstRowFirstColumn="0" w:firstRowLastColumn="0" w:lastRowFirstColumn="0" w:lastRowLastColumn="0"/>
            <w:tcW w:w="2270" w:type="dxa"/>
            <w:tcMar>
              <w:top w:w="80" w:type="dxa"/>
              <w:left w:w="120" w:type="dxa"/>
              <w:bottom w:w="80" w:type="dxa"/>
              <w:right w:w="120" w:type="dxa"/>
            </w:tcMar>
            <w:vAlign w:val="center"/>
          </w:tcPr>
          <w:p w14:paraId="04D33A8D" w14:textId="4723CF11" w:rsidR="31E4B92B" w:rsidRPr="00D16290" w:rsidRDefault="78A837CE" w:rsidP="006E3D43">
            <w:pPr>
              <w:spacing w:line="360" w:lineRule="auto"/>
              <w:jc w:val="center"/>
              <w:rPr>
                <w:rFonts w:ascii="Arial Narrow" w:eastAsia="Times New Roman" w:hAnsi="Arial Narrow" w:cs="Times New Roman"/>
                <w:color w:val="FFFFFF" w:themeColor="background1"/>
              </w:rPr>
            </w:pPr>
            <w:r w:rsidRPr="00D16290">
              <w:rPr>
                <w:rFonts w:ascii="Arial Narrow" w:eastAsia="Times New Roman" w:hAnsi="Arial Narrow" w:cs="Times New Roman"/>
              </w:rPr>
              <w:t>Parameter</w:t>
            </w:r>
          </w:p>
        </w:tc>
        <w:tc>
          <w:tcPr>
            <w:tcW w:w="1780" w:type="dxa"/>
            <w:tcMar>
              <w:top w:w="80" w:type="dxa"/>
              <w:left w:w="120" w:type="dxa"/>
              <w:bottom w:w="80" w:type="dxa"/>
              <w:right w:w="120" w:type="dxa"/>
            </w:tcMar>
            <w:vAlign w:val="center"/>
          </w:tcPr>
          <w:p w14:paraId="45287FFE" w14:textId="7FF5F87D" w:rsidR="31E4B92B" w:rsidRPr="00D16290" w:rsidRDefault="78A837CE" w:rsidP="006E3D43">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Narrow" w:eastAsia="Times New Roman" w:hAnsi="Arial Narrow" w:cs="Times New Roman"/>
                <w:b w:val="0"/>
                <w:bCs w:val="0"/>
                <w:color w:val="FFFFFF" w:themeColor="background1"/>
              </w:rPr>
            </w:pPr>
            <w:r w:rsidRPr="00D16290">
              <w:rPr>
                <w:rFonts w:ascii="Arial Narrow" w:eastAsia="Times New Roman" w:hAnsi="Arial Narrow" w:cs="Times New Roman"/>
              </w:rPr>
              <w:t>PNG Sites</w:t>
            </w:r>
          </w:p>
        </w:tc>
        <w:tc>
          <w:tcPr>
            <w:tcW w:w="2995" w:type="dxa"/>
            <w:tcMar>
              <w:top w:w="80" w:type="dxa"/>
              <w:left w:w="120" w:type="dxa"/>
              <w:bottom w:w="80" w:type="dxa"/>
              <w:right w:w="120" w:type="dxa"/>
            </w:tcMar>
            <w:vAlign w:val="center"/>
          </w:tcPr>
          <w:p w14:paraId="19767A7D" w14:textId="7435C7BB" w:rsidR="31E4B92B" w:rsidRPr="00D16290" w:rsidRDefault="78A837CE" w:rsidP="006E3D43">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Narrow" w:eastAsia="Times New Roman" w:hAnsi="Arial Narrow" w:cs="Times New Roman"/>
                <w:b w:val="0"/>
                <w:bCs w:val="0"/>
                <w:color w:val="FFFFFF" w:themeColor="background1"/>
              </w:rPr>
            </w:pPr>
            <w:r w:rsidRPr="00D16290">
              <w:rPr>
                <w:rFonts w:ascii="Arial Narrow" w:eastAsia="Times New Roman" w:hAnsi="Arial Narrow" w:cs="Times New Roman"/>
              </w:rPr>
              <w:t>Solomon Islands Sites</w:t>
            </w:r>
          </w:p>
        </w:tc>
        <w:tc>
          <w:tcPr>
            <w:tcW w:w="2454" w:type="dxa"/>
            <w:tcMar>
              <w:top w:w="80" w:type="dxa"/>
              <w:left w:w="120" w:type="dxa"/>
              <w:bottom w:w="80" w:type="dxa"/>
              <w:right w:w="120" w:type="dxa"/>
            </w:tcMar>
            <w:vAlign w:val="center"/>
          </w:tcPr>
          <w:p w14:paraId="425BE07E" w14:textId="78C424B5" w:rsidR="31E4B92B" w:rsidRPr="00D16290" w:rsidRDefault="78A837CE" w:rsidP="006E3D43">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Narrow" w:eastAsia="Times New Roman" w:hAnsi="Arial Narrow" w:cs="Times New Roman"/>
                <w:b w:val="0"/>
                <w:bCs w:val="0"/>
                <w:color w:val="FFFFFF" w:themeColor="background1"/>
              </w:rPr>
            </w:pPr>
            <w:r w:rsidRPr="00D16290">
              <w:rPr>
                <w:rFonts w:ascii="Arial Narrow" w:eastAsia="Times New Roman" w:hAnsi="Arial Narrow" w:cs="Times New Roman"/>
              </w:rPr>
              <w:t>Fiji Sites</w:t>
            </w:r>
          </w:p>
        </w:tc>
      </w:tr>
      <w:tr w:rsidR="31E4B92B" w:rsidRPr="00D16290" w14:paraId="08C7CEF6" w14:textId="77777777" w:rsidTr="006E3D4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70" w:type="dxa"/>
            <w:tcMar>
              <w:top w:w="60" w:type="dxa"/>
              <w:left w:w="120" w:type="dxa"/>
              <w:bottom w:w="60" w:type="dxa"/>
              <w:right w:w="120" w:type="dxa"/>
            </w:tcMar>
            <w:vAlign w:val="center"/>
          </w:tcPr>
          <w:p w14:paraId="6E8D6174" w14:textId="18754FC6" w:rsidR="31E4B92B" w:rsidRPr="00D16290" w:rsidRDefault="78A837CE" w:rsidP="006E3D43">
            <w:pPr>
              <w:spacing w:line="360" w:lineRule="auto"/>
              <w:rPr>
                <w:rFonts w:ascii="Arial Narrow" w:eastAsia="Times New Roman" w:hAnsi="Arial Narrow" w:cs="Times New Roman"/>
              </w:rPr>
            </w:pPr>
            <w:r w:rsidRPr="00D16290">
              <w:rPr>
                <w:rFonts w:ascii="Arial Narrow" w:eastAsia="Times New Roman" w:hAnsi="Arial Narrow" w:cs="Times New Roman"/>
              </w:rPr>
              <w:t>Model</w:t>
            </w:r>
          </w:p>
        </w:tc>
        <w:tc>
          <w:tcPr>
            <w:tcW w:w="1780" w:type="dxa"/>
            <w:tcMar>
              <w:top w:w="60" w:type="dxa"/>
              <w:left w:w="120" w:type="dxa"/>
              <w:bottom w:w="60" w:type="dxa"/>
              <w:right w:w="120" w:type="dxa"/>
            </w:tcMar>
            <w:vAlign w:val="center"/>
          </w:tcPr>
          <w:p w14:paraId="6A4CF00A" w14:textId="5835C788" w:rsidR="31E4B92B" w:rsidRPr="00D16290" w:rsidRDefault="78A837CE" w:rsidP="006E3D43">
            <w:pPr>
              <w:spacing w:line="360" w:lineRule="auto"/>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rPr>
            </w:pPr>
            <w:r w:rsidRPr="00D16290">
              <w:rPr>
                <w:rFonts w:ascii="Arial Narrow" w:eastAsia="Times New Roman" w:hAnsi="Arial Narrow" w:cs="Times New Roman"/>
              </w:rPr>
              <w:t>USA Building Footprint</w:t>
            </w:r>
          </w:p>
        </w:tc>
        <w:tc>
          <w:tcPr>
            <w:tcW w:w="2995" w:type="dxa"/>
            <w:tcMar>
              <w:top w:w="60" w:type="dxa"/>
              <w:left w:w="120" w:type="dxa"/>
              <w:bottom w:w="60" w:type="dxa"/>
              <w:right w:w="120" w:type="dxa"/>
            </w:tcMar>
            <w:vAlign w:val="center"/>
          </w:tcPr>
          <w:p w14:paraId="776583AA" w14:textId="79671C2C" w:rsidR="31E4B92B" w:rsidRPr="00D16290" w:rsidRDefault="78A837CE" w:rsidP="006E3D43">
            <w:pPr>
              <w:spacing w:line="360" w:lineRule="auto"/>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rPr>
            </w:pPr>
            <w:r w:rsidRPr="00D16290">
              <w:rPr>
                <w:rFonts w:ascii="Arial Narrow" w:eastAsia="Times New Roman" w:hAnsi="Arial Narrow" w:cs="Times New Roman"/>
              </w:rPr>
              <w:t>Africa Building Footprint</w:t>
            </w:r>
          </w:p>
        </w:tc>
        <w:tc>
          <w:tcPr>
            <w:tcW w:w="2454" w:type="dxa"/>
            <w:gridSpan w:val="2"/>
            <w:tcMar>
              <w:top w:w="60" w:type="dxa"/>
              <w:left w:w="120" w:type="dxa"/>
              <w:bottom w:w="60" w:type="dxa"/>
              <w:right w:w="120" w:type="dxa"/>
            </w:tcMar>
            <w:vAlign w:val="center"/>
          </w:tcPr>
          <w:p w14:paraId="74ED26C7" w14:textId="650B8FAF" w:rsidR="31E4B92B" w:rsidRPr="00D16290" w:rsidRDefault="78A837CE" w:rsidP="006E3D43">
            <w:pPr>
              <w:spacing w:line="360" w:lineRule="auto"/>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rPr>
            </w:pPr>
            <w:r w:rsidRPr="00D16290">
              <w:rPr>
                <w:rFonts w:ascii="Arial Narrow" w:eastAsia="Times New Roman" w:hAnsi="Arial Narrow" w:cs="Times New Roman"/>
              </w:rPr>
              <w:t>Africa Building Footprint</w:t>
            </w:r>
          </w:p>
        </w:tc>
      </w:tr>
      <w:tr w:rsidR="31E4B92B" w:rsidRPr="00D16290" w14:paraId="1D00E816" w14:textId="77777777" w:rsidTr="006E3D43">
        <w:trPr>
          <w:gridAfter w:val="1"/>
          <w:wAfter w:w="10" w:type="dxa"/>
          <w:trHeight w:val="300"/>
        </w:trPr>
        <w:tc>
          <w:tcPr>
            <w:cnfStyle w:val="001000000000" w:firstRow="0" w:lastRow="0" w:firstColumn="1" w:lastColumn="0" w:oddVBand="0" w:evenVBand="0" w:oddHBand="0" w:evenHBand="0" w:firstRowFirstColumn="0" w:firstRowLastColumn="0" w:lastRowFirstColumn="0" w:lastRowLastColumn="0"/>
            <w:tcW w:w="2270" w:type="dxa"/>
            <w:tcMar>
              <w:top w:w="60" w:type="dxa"/>
              <w:left w:w="120" w:type="dxa"/>
              <w:bottom w:w="60" w:type="dxa"/>
              <w:right w:w="120" w:type="dxa"/>
            </w:tcMar>
            <w:vAlign w:val="center"/>
          </w:tcPr>
          <w:p w14:paraId="1F4F26A1" w14:textId="75B96477" w:rsidR="31E4B92B" w:rsidRPr="00D16290" w:rsidRDefault="78A837CE" w:rsidP="006E3D43">
            <w:pPr>
              <w:spacing w:line="360" w:lineRule="auto"/>
              <w:rPr>
                <w:rFonts w:ascii="Arial Narrow" w:eastAsia="Times New Roman" w:hAnsi="Arial Narrow" w:cs="Times New Roman"/>
              </w:rPr>
            </w:pPr>
            <w:r w:rsidRPr="00D16290">
              <w:rPr>
                <w:rFonts w:ascii="Arial Narrow" w:eastAsia="Times New Roman" w:hAnsi="Arial Narrow" w:cs="Times New Roman"/>
              </w:rPr>
              <w:t>Confidence threshold</w:t>
            </w:r>
          </w:p>
        </w:tc>
        <w:tc>
          <w:tcPr>
            <w:tcW w:w="1780" w:type="dxa"/>
            <w:tcMar>
              <w:top w:w="60" w:type="dxa"/>
              <w:left w:w="120" w:type="dxa"/>
              <w:bottom w:w="60" w:type="dxa"/>
              <w:right w:w="120" w:type="dxa"/>
            </w:tcMar>
            <w:vAlign w:val="center"/>
          </w:tcPr>
          <w:p w14:paraId="32EBEDE7" w14:textId="3456B655" w:rsidR="31E4B92B" w:rsidRPr="00D16290" w:rsidRDefault="78A837CE" w:rsidP="006E3D43">
            <w:pPr>
              <w:spacing w:line="360" w:lineRule="auto"/>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rPr>
            </w:pPr>
            <w:r w:rsidRPr="00D16290">
              <w:rPr>
                <w:rFonts w:ascii="Arial Narrow" w:eastAsia="Times New Roman" w:hAnsi="Arial Narrow" w:cs="Times New Roman"/>
              </w:rPr>
              <w:t>0.20</w:t>
            </w:r>
          </w:p>
        </w:tc>
        <w:tc>
          <w:tcPr>
            <w:tcW w:w="2995" w:type="dxa"/>
            <w:tcMar>
              <w:top w:w="60" w:type="dxa"/>
              <w:left w:w="120" w:type="dxa"/>
              <w:bottom w:w="60" w:type="dxa"/>
              <w:right w:w="120" w:type="dxa"/>
            </w:tcMar>
            <w:vAlign w:val="center"/>
          </w:tcPr>
          <w:p w14:paraId="73115BDC" w14:textId="7EACD7AA" w:rsidR="31E4B92B" w:rsidRPr="00D16290" w:rsidRDefault="78A837CE" w:rsidP="006E3D43">
            <w:pPr>
              <w:spacing w:line="360" w:lineRule="auto"/>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rPr>
            </w:pPr>
            <w:r w:rsidRPr="00D16290">
              <w:rPr>
                <w:rFonts w:ascii="Arial Narrow" w:eastAsia="Times New Roman" w:hAnsi="Arial Narrow" w:cs="Times New Roman"/>
              </w:rPr>
              <w:t>0.50</w:t>
            </w:r>
          </w:p>
        </w:tc>
        <w:tc>
          <w:tcPr>
            <w:tcW w:w="2454" w:type="dxa"/>
            <w:tcMar>
              <w:top w:w="60" w:type="dxa"/>
              <w:left w:w="120" w:type="dxa"/>
              <w:bottom w:w="60" w:type="dxa"/>
              <w:right w:w="120" w:type="dxa"/>
            </w:tcMar>
            <w:vAlign w:val="center"/>
          </w:tcPr>
          <w:p w14:paraId="6EBB996E" w14:textId="010B9DCF" w:rsidR="31E4B92B" w:rsidRPr="00D16290" w:rsidRDefault="78A837CE" w:rsidP="006E3D43">
            <w:pPr>
              <w:spacing w:line="360" w:lineRule="auto"/>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rPr>
            </w:pPr>
            <w:r w:rsidRPr="00D16290">
              <w:rPr>
                <w:rFonts w:ascii="Arial Narrow" w:eastAsia="Times New Roman" w:hAnsi="Arial Narrow" w:cs="Times New Roman"/>
              </w:rPr>
              <w:t>0.50</w:t>
            </w:r>
          </w:p>
        </w:tc>
      </w:tr>
      <w:tr w:rsidR="31E4B92B" w:rsidRPr="00D16290" w14:paraId="08A21698" w14:textId="77777777" w:rsidTr="006E3D4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70" w:type="dxa"/>
            <w:tcMar>
              <w:top w:w="60" w:type="dxa"/>
              <w:left w:w="120" w:type="dxa"/>
              <w:bottom w:w="60" w:type="dxa"/>
              <w:right w:w="120" w:type="dxa"/>
            </w:tcMar>
            <w:vAlign w:val="center"/>
          </w:tcPr>
          <w:p w14:paraId="7B71A5C6" w14:textId="4BF9D80B" w:rsidR="31E4B92B" w:rsidRPr="00D16290" w:rsidRDefault="78A837CE" w:rsidP="006E3D43">
            <w:pPr>
              <w:spacing w:line="360" w:lineRule="auto"/>
              <w:rPr>
                <w:rFonts w:ascii="Arial Narrow" w:eastAsia="Times New Roman" w:hAnsi="Arial Narrow" w:cs="Times New Roman"/>
              </w:rPr>
            </w:pPr>
            <w:r w:rsidRPr="00D16290">
              <w:rPr>
                <w:rFonts w:ascii="Arial Narrow" w:eastAsia="Times New Roman" w:hAnsi="Arial Narrow" w:cs="Times New Roman"/>
              </w:rPr>
              <w:t>Tile size (pixels)</w:t>
            </w:r>
          </w:p>
        </w:tc>
        <w:tc>
          <w:tcPr>
            <w:tcW w:w="1780" w:type="dxa"/>
            <w:tcMar>
              <w:top w:w="60" w:type="dxa"/>
              <w:left w:w="120" w:type="dxa"/>
              <w:bottom w:w="60" w:type="dxa"/>
              <w:right w:w="120" w:type="dxa"/>
            </w:tcMar>
            <w:vAlign w:val="center"/>
          </w:tcPr>
          <w:p w14:paraId="2617502F" w14:textId="5FB7E77F" w:rsidR="31E4B92B" w:rsidRPr="00D16290" w:rsidRDefault="78A837CE" w:rsidP="006E3D43">
            <w:pPr>
              <w:spacing w:line="360" w:lineRule="auto"/>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rPr>
            </w:pPr>
            <w:r w:rsidRPr="00D16290">
              <w:rPr>
                <w:rFonts w:ascii="Arial Narrow" w:eastAsia="Times New Roman" w:hAnsi="Arial Narrow" w:cs="Times New Roman"/>
              </w:rPr>
              <w:t>256</w:t>
            </w:r>
          </w:p>
        </w:tc>
        <w:tc>
          <w:tcPr>
            <w:tcW w:w="2995" w:type="dxa"/>
            <w:tcMar>
              <w:top w:w="60" w:type="dxa"/>
              <w:left w:w="120" w:type="dxa"/>
              <w:bottom w:w="60" w:type="dxa"/>
              <w:right w:w="120" w:type="dxa"/>
            </w:tcMar>
            <w:vAlign w:val="center"/>
          </w:tcPr>
          <w:p w14:paraId="237A9400" w14:textId="3DE426FD" w:rsidR="31E4B92B" w:rsidRPr="00D16290" w:rsidRDefault="78A837CE" w:rsidP="006E3D43">
            <w:pPr>
              <w:spacing w:line="360" w:lineRule="auto"/>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rPr>
            </w:pPr>
            <w:r w:rsidRPr="00D16290">
              <w:rPr>
                <w:rFonts w:ascii="Arial Narrow" w:eastAsia="Times New Roman" w:hAnsi="Arial Narrow" w:cs="Times New Roman"/>
              </w:rPr>
              <w:t>256</w:t>
            </w:r>
          </w:p>
        </w:tc>
        <w:tc>
          <w:tcPr>
            <w:tcW w:w="2454" w:type="dxa"/>
            <w:gridSpan w:val="2"/>
            <w:tcMar>
              <w:top w:w="60" w:type="dxa"/>
              <w:left w:w="120" w:type="dxa"/>
              <w:bottom w:w="60" w:type="dxa"/>
              <w:right w:w="120" w:type="dxa"/>
            </w:tcMar>
            <w:vAlign w:val="center"/>
          </w:tcPr>
          <w:p w14:paraId="658CE7E8" w14:textId="17DEC172" w:rsidR="31E4B92B" w:rsidRPr="00D16290" w:rsidRDefault="78A837CE" w:rsidP="006E3D43">
            <w:pPr>
              <w:spacing w:line="360" w:lineRule="auto"/>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rPr>
            </w:pPr>
            <w:r w:rsidRPr="00D16290">
              <w:rPr>
                <w:rFonts w:ascii="Arial Narrow" w:eastAsia="Times New Roman" w:hAnsi="Arial Narrow" w:cs="Times New Roman"/>
              </w:rPr>
              <w:t>256</w:t>
            </w:r>
          </w:p>
        </w:tc>
      </w:tr>
      <w:tr w:rsidR="31E4B92B" w:rsidRPr="00D16290" w14:paraId="3D97C81B" w14:textId="77777777" w:rsidTr="006E3D43">
        <w:trPr>
          <w:gridAfter w:val="1"/>
          <w:wAfter w:w="10" w:type="dxa"/>
          <w:trHeight w:val="300"/>
        </w:trPr>
        <w:tc>
          <w:tcPr>
            <w:cnfStyle w:val="001000000000" w:firstRow="0" w:lastRow="0" w:firstColumn="1" w:lastColumn="0" w:oddVBand="0" w:evenVBand="0" w:oddHBand="0" w:evenHBand="0" w:firstRowFirstColumn="0" w:firstRowLastColumn="0" w:lastRowFirstColumn="0" w:lastRowLastColumn="0"/>
            <w:tcW w:w="2270" w:type="dxa"/>
            <w:tcMar>
              <w:top w:w="60" w:type="dxa"/>
              <w:left w:w="120" w:type="dxa"/>
              <w:bottom w:w="60" w:type="dxa"/>
              <w:right w:w="120" w:type="dxa"/>
            </w:tcMar>
            <w:vAlign w:val="center"/>
          </w:tcPr>
          <w:p w14:paraId="5AD4170D" w14:textId="2E0B6F7C" w:rsidR="31E4B92B" w:rsidRPr="00D16290" w:rsidRDefault="78A837CE" w:rsidP="006E3D43">
            <w:pPr>
              <w:spacing w:line="360" w:lineRule="auto"/>
              <w:rPr>
                <w:rFonts w:ascii="Arial Narrow" w:eastAsia="Times New Roman" w:hAnsi="Arial Narrow" w:cs="Times New Roman"/>
              </w:rPr>
            </w:pPr>
            <w:r w:rsidRPr="00D16290">
              <w:rPr>
                <w:rFonts w:ascii="Arial Narrow" w:eastAsia="Times New Roman" w:hAnsi="Arial Narrow" w:cs="Times New Roman"/>
              </w:rPr>
              <w:t>Padding (pixels)</w:t>
            </w:r>
          </w:p>
        </w:tc>
        <w:tc>
          <w:tcPr>
            <w:tcW w:w="1780" w:type="dxa"/>
            <w:tcMar>
              <w:top w:w="60" w:type="dxa"/>
              <w:left w:w="120" w:type="dxa"/>
              <w:bottom w:w="60" w:type="dxa"/>
              <w:right w:w="120" w:type="dxa"/>
            </w:tcMar>
            <w:vAlign w:val="center"/>
          </w:tcPr>
          <w:p w14:paraId="0CBF6008" w14:textId="67081838" w:rsidR="31E4B92B" w:rsidRPr="00D16290" w:rsidRDefault="78A837CE" w:rsidP="006E3D43">
            <w:pPr>
              <w:spacing w:line="360" w:lineRule="auto"/>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rPr>
            </w:pPr>
            <w:r w:rsidRPr="00D16290">
              <w:rPr>
                <w:rFonts w:ascii="Arial Narrow" w:eastAsia="Times New Roman" w:hAnsi="Arial Narrow" w:cs="Times New Roman"/>
              </w:rPr>
              <w:t>32</w:t>
            </w:r>
          </w:p>
        </w:tc>
        <w:tc>
          <w:tcPr>
            <w:tcW w:w="2995" w:type="dxa"/>
            <w:tcMar>
              <w:top w:w="60" w:type="dxa"/>
              <w:left w:w="120" w:type="dxa"/>
              <w:bottom w:w="60" w:type="dxa"/>
              <w:right w:w="120" w:type="dxa"/>
            </w:tcMar>
            <w:vAlign w:val="center"/>
          </w:tcPr>
          <w:p w14:paraId="1F661661" w14:textId="6571D21A" w:rsidR="31E4B92B" w:rsidRPr="00D16290" w:rsidRDefault="78A837CE" w:rsidP="006E3D43">
            <w:pPr>
              <w:spacing w:line="360" w:lineRule="auto"/>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rPr>
            </w:pPr>
            <w:r w:rsidRPr="00D16290">
              <w:rPr>
                <w:rFonts w:ascii="Arial Narrow" w:eastAsia="Times New Roman" w:hAnsi="Arial Narrow" w:cs="Times New Roman"/>
              </w:rPr>
              <w:t>32</w:t>
            </w:r>
          </w:p>
        </w:tc>
        <w:tc>
          <w:tcPr>
            <w:tcW w:w="2454" w:type="dxa"/>
            <w:tcMar>
              <w:top w:w="60" w:type="dxa"/>
              <w:left w:w="120" w:type="dxa"/>
              <w:bottom w:w="60" w:type="dxa"/>
              <w:right w:w="120" w:type="dxa"/>
            </w:tcMar>
            <w:vAlign w:val="center"/>
          </w:tcPr>
          <w:p w14:paraId="4C89CEE1" w14:textId="3710EBFD" w:rsidR="31E4B92B" w:rsidRPr="00D16290" w:rsidRDefault="78A837CE" w:rsidP="006E3D43">
            <w:pPr>
              <w:spacing w:line="360" w:lineRule="auto"/>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rPr>
            </w:pPr>
            <w:r w:rsidRPr="00D16290">
              <w:rPr>
                <w:rFonts w:ascii="Arial Narrow" w:eastAsia="Times New Roman" w:hAnsi="Arial Narrow" w:cs="Times New Roman"/>
              </w:rPr>
              <w:t>32</w:t>
            </w:r>
          </w:p>
        </w:tc>
      </w:tr>
      <w:tr w:rsidR="31E4B92B" w:rsidRPr="00D16290" w14:paraId="32FF3003" w14:textId="77777777" w:rsidTr="006E3D4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70" w:type="dxa"/>
            <w:tcMar>
              <w:top w:w="60" w:type="dxa"/>
              <w:left w:w="120" w:type="dxa"/>
              <w:bottom w:w="60" w:type="dxa"/>
              <w:right w:w="120" w:type="dxa"/>
            </w:tcMar>
            <w:vAlign w:val="center"/>
          </w:tcPr>
          <w:p w14:paraId="08697C3F" w14:textId="1053056F" w:rsidR="31E4B92B" w:rsidRPr="00D16290" w:rsidRDefault="78A837CE" w:rsidP="006E3D43">
            <w:pPr>
              <w:spacing w:line="360" w:lineRule="auto"/>
              <w:rPr>
                <w:rFonts w:ascii="Arial Narrow" w:eastAsia="Times New Roman" w:hAnsi="Arial Narrow" w:cs="Times New Roman"/>
              </w:rPr>
            </w:pPr>
            <w:r w:rsidRPr="00D16290">
              <w:rPr>
                <w:rFonts w:ascii="Arial Narrow" w:eastAsia="Times New Roman" w:hAnsi="Arial Narrow" w:cs="Times New Roman"/>
              </w:rPr>
              <w:t>Batch size</w:t>
            </w:r>
          </w:p>
        </w:tc>
        <w:tc>
          <w:tcPr>
            <w:tcW w:w="1780" w:type="dxa"/>
            <w:tcMar>
              <w:top w:w="60" w:type="dxa"/>
              <w:left w:w="120" w:type="dxa"/>
              <w:bottom w:w="60" w:type="dxa"/>
              <w:right w:w="120" w:type="dxa"/>
            </w:tcMar>
            <w:vAlign w:val="center"/>
          </w:tcPr>
          <w:p w14:paraId="5A093B3A" w14:textId="289039D6" w:rsidR="31E4B92B" w:rsidRPr="00D16290" w:rsidRDefault="78A837CE" w:rsidP="006E3D43">
            <w:pPr>
              <w:spacing w:line="360" w:lineRule="auto"/>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rPr>
            </w:pPr>
            <w:r w:rsidRPr="00D16290">
              <w:rPr>
                <w:rFonts w:ascii="Arial Narrow" w:eastAsia="Times New Roman" w:hAnsi="Arial Narrow" w:cs="Times New Roman"/>
              </w:rPr>
              <w:t>1</w:t>
            </w:r>
          </w:p>
        </w:tc>
        <w:tc>
          <w:tcPr>
            <w:tcW w:w="2995" w:type="dxa"/>
            <w:tcMar>
              <w:top w:w="60" w:type="dxa"/>
              <w:left w:w="120" w:type="dxa"/>
              <w:bottom w:w="60" w:type="dxa"/>
              <w:right w:w="120" w:type="dxa"/>
            </w:tcMar>
            <w:vAlign w:val="center"/>
          </w:tcPr>
          <w:p w14:paraId="1B8E0352" w14:textId="0789301A" w:rsidR="31E4B92B" w:rsidRPr="00D16290" w:rsidRDefault="78A837CE" w:rsidP="006E3D43">
            <w:pPr>
              <w:spacing w:line="360" w:lineRule="auto"/>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rPr>
            </w:pPr>
            <w:r w:rsidRPr="00D16290">
              <w:rPr>
                <w:rFonts w:ascii="Arial Narrow" w:eastAsia="Times New Roman" w:hAnsi="Arial Narrow" w:cs="Times New Roman"/>
              </w:rPr>
              <w:t>1</w:t>
            </w:r>
          </w:p>
        </w:tc>
        <w:tc>
          <w:tcPr>
            <w:tcW w:w="2454" w:type="dxa"/>
            <w:gridSpan w:val="2"/>
            <w:tcMar>
              <w:top w:w="60" w:type="dxa"/>
              <w:left w:w="120" w:type="dxa"/>
              <w:bottom w:w="60" w:type="dxa"/>
              <w:right w:w="120" w:type="dxa"/>
            </w:tcMar>
            <w:vAlign w:val="center"/>
          </w:tcPr>
          <w:p w14:paraId="74782A2B" w14:textId="48479827" w:rsidR="31E4B92B" w:rsidRPr="00D16290" w:rsidRDefault="78A837CE" w:rsidP="006E3D43">
            <w:pPr>
              <w:spacing w:line="360" w:lineRule="auto"/>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rPr>
            </w:pPr>
            <w:r w:rsidRPr="00D16290">
              <w:rPr>
                <w:rFonts w:ascii="Arial Narrow" w:eastAsia="Times New Roman" w:hAnsi="Arial Narrow" w:cs="Times New Roman"/>
              </w:rPr>
              <w:t>1</w:t>
            </w:r>
          </w:p>
        </w:tc>
      </w:tr>
      <w:tr w:rsidR="31E4B92B" w:rsidRPr="00D16290" w14:paraId="26DAE7E1" w14:textId="77777777" w:rsidTr="006E3D43">
        <w:trPr>
          <w:gridAfter w:val="1"/>
          <w:wAfter w:w="10" w:type="dxa"/>
          <w:trHeight w:val="300"/>
        </w:trPr>
        <w:tc>
          <w:tcPr>
            <w:cnfStyle w:val="001000000000" w:firstRow="0" w:lastRow="0" w:firstColumn="1" w:lastColumn="0" w:oddVBand="0" w:evenVBand="0" w:oddHBand="0" w:evenHBand="0" w:firstRowFirstColumn="0" w:firstRowLastColumn="0" w:lastRowFirstColumn="0" w:lastRowLastColumn="0"/>
            <w:tcW w:w="2270" w:type="dxa"/>
            <w:tcMar>
              <w:top w:w="60" w:type="dxa"/>
              <w:left w:w="120" w:type="dxa"/>
              <w:bottom w:w="60" w:type="dxa"/>
              <w:right w:w="120" w:type="dxa"/>
            </w:tcMar>
            <w:vAlign w:val="center"/>
          </w:tcPr>
          <w:p w14:paraId="48B667B6" w14:textId="5EE0F7E8" w:rsidR="31E4B92B" w:rsidRPr="00D16290" w:rsidRDefault="78A837CE" w:rsidP="006E3D43">
            <w:pPr>
              <w:spacing w:line="360" w:lineRule="auto"/>
              <w:rPr>
                <w:rFonts w:ascii="Arial Narrow" w:eastAsia="Times New Roman" w:hAnsi="Arial Narrow" w:cs="Times New Roman"/>
              </w:rPr>
            </w:pPr>
            <w:r w:rsidRPr="00D16290">
              <w:rPr>
                <w:rFonts w:ascii="Arial Narrow" w:eastAsia="Times New Roman" w:hAnsi="Arial Narrow" w:cs="Times New Roman"/>
              </w:rPr>
              <w:t>Test Time Augmentation</w:t>
            </w:r>
          </w:p>
        </w:tc>
        <w:tc>
          <w:tcPr>
            <w:tcW w:w="1780" w:type="dxa"/>
            <w:tcMar>
              <w:top w:w="60" w:type="dxa"/>
              <w:left w:w="120" w:type="dxa"/>
              <w:bottom w:w="60" w:type="dxa"/>
              <w:right w:w="120" w:type="dxa"/>
            </w:tcMar>
            <w:vAlign w:val="center"/>
          </w:tcPr>
          <w:p w14:paraId="38F76D29" w14:textId="0106099A" w:rsidR="31E4B92B" w:rsidRPr="00D16290" w:rsidRDefault="78A837CE" w:rsidP="006E3D43">
            <w:pPr>
              <w:spacing w:line="360" w:lineRule="auto"/>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rPr>
            </w:pPr>
            <w:r w:rsidRPr="00D16290">
              <w:rPr>
                <w:rFonts w:ascii="Arial Narrow" w:eastAsia="Times New Roman" w:hAnsi="Arial Narrow" w:cs="Times New Roman"/>
              </w:rPr>
              <w:t>True</w:t>
            </w:r>
          </w:p>
        </w:tc>
        <w:tc>
          <w:tcPr>
            <w:tcW w:w="2995" w:type="dxa"/>
            <w:tcMar>
              <w:top w:w="60" w:type="dxa"/>
              <w:left w:w="120" w:type="dxa"/>
              <w:bottom w:w="60" w:type="dxa"/>
              <w:right w:w="120" w:type="dxa"/>
            </w:tcMar>
            <w:vAlign w:val="center"/>
          </w:tcPr>
          <w:p w14:paraId="4ED6C63A" w14:textId="04C6448B" w:rsidR="31E4B92B" w:rsidRPr="00D16290" w:rsidRDefault="78A837CE" w:rsidP="006E3D43">
            <w:pPr>
              <w:spacing w:line="360" w:lineRule="auto"/>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rPr>
            </w:pPr>
            <w:r w:rsidRPr="00D16290">
              <w:rPr>
                <w:rFonts w:ascii="Arial Narrow" w:eastAsia="Times New Roman" w:hAnsi="Arial Narrow" w:cs="Times New Roman"/>
              </w:rPr>
              <w:t>True</w:t>
            </w:r>
          </w:p>
        </w:tc>
        <w:tc>
          <w:tcPr>
            <w:tcW w:w="2454" w:type="dxa"/>
            <w:tcMar>
              <w:top w:w="60" w:type="dxa"/>
              <w:left w:w="120" w:type="dxa"/>
              <w:bottom w:w="60" w:type="dxa"/>
              <w:right w:w="120" w:type="dxa"/>
            </w:tcMar>
            <w:vAlign w:val="center"/>
          </w:tcPr>
          <w:p w14:paraId="060AE84A" w14:textId="72B6C308" w:rsidR="31E4B92B" w:rsidRPr="00D16290" w:rsidRDefault="78A837CE" w:rsidP="006E3D43">
            <w:pPr>
              <w:spacing w:line="360" w:lineRule="auto"/>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rPr>
            </w:pPr>
            <w:r w:rsidRPr="00D16290">
              <w:rPr>
                <w:rFonts w:ascii="Arial Narrow" w:eastAsia="Times New Roman" w:hAnsi="Arial Narrow" w:cs="Times New Roman"/>
              </w:rPr>
              <w:t>True</w:t>
            </w:r>
          </w:p>
        </w:tc>
      </w:tr>
      <w:tr w:rsidR="31E4B92B" w:rsidRPr="00D16290" w14:paraId="5D29FD11" w14:textId="77777777" w:rsidTr="006E3D4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70" w:type="dxa"/>
            <w:tcMar>
              <w:top w:w="60" w:type="dxa"/>
              <w:left w:w="120" w:type="dxa"/>
              <w:bottom w:w="60" w:type="dxa"/>
              <w:right w:w="120" w:type="dxa"/>
            </w:tcMar>
            <w:vAlign w:val="center"/>
          </w:tcPr>
          <w:p w14:paraId="5C061BC4" w14:textId="7709C3ED" w:rsidR="31E4B92B" w:rsidRPr="00D16290" w:rsidRDefault="78A837CE" w:rsidP="006E3D43">
            <w:pPr>
              <w:spacing w:line="360" w:lineRule="auto"/>
              <w:rPr>
                <w:rFonts w:ascii="Arial Narrow" w:eastAsia="Times New Roman" w:hAnsi="Arial Narrow" w:cs="Times New Roman"/>
              </w:rPr>
            </w:pPr>
            <w:r w:rsidRPr="00D16290">
              <w:rPr>
                <w:rFonts w:ascii="Arial Narrow" w:eastAsia="Times New Roman" w:hAnsi="Arial Narrow" w:cs="Times New Roman"/>
              </w:rPr>
              <w:t>Merge policy</w:t>
            </w:r>
          </w:p>
        </w:tc>
        <w:tc>
          <w:tcPr>
            <w:tcW w:w="1780" w:type="dxa"/>
            <w:tcMar>
              <w:top w:w="60" w:type="dxa"/>
              <w:left w:w="120" w:type="dxa"/>
              <w:bottom w:w="60" w:type="dxa"/>
              <w:right w:w="120" w:type="dxa"/>
            </w:tcMar>
            <w:vAlign w:val="center"/>
          </w:tcPr>
          <w:p w14:paraId="2ED6C75B" w14:textId="5659393D" w:rsidR="31E4B92B" w:rsidRPr="00D16290" w:rsidRDefault="78A837CE" w:rsidP="006E3D43">
            <w:pPr>
              <w:spacing w:line="360" w:lineRule="auto"/>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rPr>
            </w:pPr>
            <w:r w:rsidRPr="00D16290">
              <w:rPr>
                <w:rFonts w:ascii="Arial Narrow" w:eastAsia="Times New Roman" w:hAnsi="Arial Narrow" w:cs="Times New Roman"/>
              </w:rPr>
              <w:t>mean</w:t>
            </w:r>
          </w:p>
        </w:tc>
        <w:tc>
          <w:tcPr>
            <w:tcW w:w="2995" w:type="dxa"/>
            <w:tcMar>
              <w:top w:w="60" w:type="dxa"/>
              <w:left w:w="120" w:type="dxa"/>
              <w:bottom w:w="60" w:type="dxa"/>
              <w:right w:w="120" w:type="dxa"/>
            </w:tcMar>
            <w:vAlign w:val="center"/>
          </w:tcPr>
          <w:p w14:paraId="0B8F2AF6" w14:textId="3D8EBE1A" w:rsidR="31E4B92B" w:rsidRPr="00D16290" w:rsidRDefault="78A837CE" w:rsidP="006E3D43">
            <w:pPr>
              <w:spacing w:line="360" w:lineRule="auto"/>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rPr>
            </w:pPr>
            <w:r w:rsidRPr="00D16290">
              <w:rPr>
                <w:rFonts w:ascii="Arial Narrow" w:eastAsia="Times New Roman" w:hAnsi="Arial Narrow" w:cs="Times New Roman"/>
              </w:rPr>
              <w:t>mean</w:t>
            </w:r>
          </w:p>
        </w:tc>
        <w:tc>
          <w:tcPr>
            <w:tcW w:w="2454" w:type="dxa"/>
            <w:gridSpan w:val="2"/>
            <w:tcMar>
              <w:top w:w="60" w:type="dxa"/>
              <w:left w:w="120" w:type="dxa"/>
              <w:bottom w:w="60" w:type="dxa"/>
              <w:right w:w="120" w:type="dxa"/>
            </w:tcMar>
            <w:vAlign w:val="center"/>
          </w:tcPr>
          <w:p w14:paraId="4E0D966A" w14:textId="5E0221AB" w:rsidR="31E4B92B" w:rsidRPr="00D16290" w:rsidRDefault="78A837CE" w:rsidP="006E3D43">
            <w:pPr>
              <w:spacing w:line="360" w:lineRule="auto"/>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rPr>
            </w:pPr>
            <w:r w:rsidRPr="00D16290">
              <w:rPr>
                <w:rFonts w:ascii="Arial Narrow" w:eastAsia="Times New Roman" w:hAnsi="Arial Narrow" w:cs="Times New Roman"/>
              </w:rPr>
              <w:t>mean</w:t>
            </w:r>
          </w:p>
        </w:tc>
      </w:tr>
      <w:tr w:rsidR="31E4B92B" w:rsidRPr="00D16290" w14:paraId="0DF054D0" w14:textId="77777777" w:rsidTr="006E3D43">
        <w:trPr>
          <w:gridAfter w:val="1"/>
          <w:wAfter w:w="10" w:type="dxa"/>
          <w:trHeight w:val="300"/>
        </w:trPr>
        <w:tc>
          <w:tcPr>
            <w:cnfStyle w:val="001000000000" w:firstRow="0" w:lastRow="0" w:firstColumn="1" w:lastColumn="0" w:oddVBand="0" w:evenVBand="0" w:oddHBand="0" w:evenHBand="0" w:firstRowFirstColumn="0" w:firstRowLastColumn="0" w:lastRowFirstColumn="0" w:lastRowLastColumn="0"/>
            <w:tcW w:w="2270" w:type="dxa"/>
            <w:tcMar>
              <w:top w:w="60" w:type="dxa"/>
              <w:left w:w="120" w:type="dxa"/>
              <w:bottom w:w="60" w:type="dxa"/>
              <w:right w:w="120" w:type="dxa"/>
            </w:tcMar>
            <w:vAlign w:val="center"/>
          </w:tcPr>
          <w:p w14:paraId="340B8BC4" w14:textId="09CFE509" w:rsidR="31E4B92B" w:rsidRPr="00D16290" w:rsidRDefault="78A837CE" w:rsidP="006E3D43">
            <w:pPr>
              <w:spacing w:line="360" w:lineRule="auto"/>
              <w:rPr>
                <w:rFonts w:ascii="Arial Narrow" w:eastAsia="Times New Roman" w:hAnsi="Arial Narrow" w:cs="Times New Roman"/>
              </w:rPr>
            </w:pPr>
            <w:r w:rsidRPr="00D16290">
              <w:rPr>
                <w:rFonts w:ascii="Arial Narrow" w:eastAsia="Times New Roman" w:hAnsi="Arial Narrow" w:cs="Times New Roman"/>
              </w:rPr>
              <w:t>NMS overlap ratio</w:t>
            </w:r>
          </w:p>
        </w:tc>
        <w:tc>
          <w:tcPr>
            <w:tcW w:w="1780" w:type="dxa"/>
            <w:tcMar>
              <w:top w:w="60" w:type="dxa"/>
              <w:left w:w="120" w:type="dxa"/>
              <w:bottom w:w="60" w:type="dxa"/>
              <w:right w:w="120" w:type="dxa"/>
            </w:tcMar>
            <w:vAlign w:val="center"/>
          </w:tcPr>
          <w:p w14:paraId="174983D1" w14:textId="42869A3F" w:rsidR="31E4B92B" w:rsidRPr="00D16290" w:rsidRDefault="78A837CE" w:rsidP="006E3D43">
            <w:pPr>
              <w:spacing w:line="360" w:lineRule="auto"/>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rPr>
            </w:pPr>
            <w:r w:rsidRPr="00D16290">
              <w:rPr>
                <w:rFonts w:ascii="Arial Narrow" w:eastAsia="Times New Roman" w:hAnsi="Arial Narrow" w:cs="Times New Roman"/>
              </w:rPr>
              <w:t>0.10</w:t>
            </w:r>
          </w:p>
        </w:tc>
        <w:tc>
          <w:tcPr>
            <w:tcW w:w="2995" w:type="dxa"/>
            <w:tcMar>
              <w:top w:w="60" w:type="dxa"/>
              <w:left w:w="120" w:type="dxa"/>
              <w:bottom w:w="60" w:type="dxa"/>
              <w:right w:w="120" w:type="dxa"/>
            </w:tcMar>
            <w:vAlign w:val="center"/>
          </w:tcPr>
          <w:p w14:paraId="0FF471B1" w14:textId="7FEB0B24" w:rsidR="31E4B92B" w:rsidRPr="00D16290" w:rsidRDefault="78A837CE" w:rsidP="006E3D43">
            <w:pPr>
              <w:spacing w:line="360" w:lineRule="auto"/>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rPr>
            </w:pPr>
            <w:r w:rsidRPr="00D16290">
              <w:rPr>
                <w:rFonts w:ascii="Arial Narrow" w:eastAsia="Times New Roman" w:hAnsi="Arial Narrow" w:cs="Times New Roman"/>
              </w:rPr>
              <w:t>0.10</w:t>
            </w:r>
          </w:p>
        </w:tc>
        <w:tc>
          <w:tcPr>
            <w:tcW w:w="2454" w:type="dxa"/>
            <w:tcMar>
              <w:top w:w="60" w:type="dxa"/>
              <w:left w:w="120" w:type="dxa"/>
              <w:bottom w:w="60" w:type="dxa"/>
              <w:right w:w="120" w:type="dxa"/>
            </w:tcMar>
            <w:vAlign w:val="center"/>
          </w:tcPr>
          <w:p w14:paraId="743F9C05" w14:textId="2A5DC458" w:rsidR="31E4B92B" w:rsidRPr="00D16290" w:rsidRDefault="78A837CE" w:rsidP="006E3D43">
            <w:pPr>
              <w:spacing w:line="360" w:lineRule="auto"/>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rPr>
            </w:pPr>
            <w:r w:rsidRPr="00D16290">
              <w:rPr>
                <w:rFonts w:ascii="Arial Narrow" w:eastAsia="Times New Roman" w:hAnsi="Arial Narrow" w:cs="Times New Roman"/>
              </w:rPr>
              <w:t>0.10</w:t>
            </w:r>
          </w:p>
        </w:tc>
      </w:tr>
      <w:tr w:rsidR="31E4B92B" w:rsidRPr="00D16290" w14:paraId="72AABC64" w14:textId="77777777" w:rsidTr="006E3D4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70" w:type="dxa"/>
            <w:tcMar>
              <w:top w:w="60" w:type="dxa"/>
              <w:left w:w="120" w:type="dxa"/>
              <w:bottom w:w="60" w:type="dxa"/>
              <w:right w:w="120" w:type="dxa"/>
            </w:tcMar>
            <w:vAlign w:val="center"/>
          </w:tcPr>
          <w:p w14:paraId="73901B5D" w14:textId="42DEF691" w:rsidR="31E4B92B" w:rsidRPr="00D16290" w:rsidRDefault="78A837CE" w:rsidP="006E3D43">
            <w:pPr>
              <w:spacing w:line="360" w:lineRule="auto"/>
              <w:rPr>
                <w:rFonts w:ascii="Arial Narrow" w:eastAsia="Times New Roman" w:hAnsi="Arial Narrow" w:cs="Times New Roman"/>
              </w:rPr>
            </w:pPr>
            <w:r w:rsidRPr="00D16290">
              <w:rPr>
                <w:rFonts w:ascii="Arial Narrow" w:eastAsia="Times New Roman" w:hAnsi="Arial Narrow" w:cs="Times New Roman"/>
              </w:rPr>
              <w:t>Processing mode</w:t>
            </w:r>
          </w:p>
        </w:tc>
        <w:tc>
          <w:tcPr>
            <w:tcW w:w="1780" w:type="dxa"/>
            <w:tcMar>
              <w:top w:w="60" w:type="dxa"/>
              <w:left w:w="120" w:type="dxa"/>
              <w:bottom w:w="60" w:type="dxa"/>
              <w:right w:w="120" w:type="dxa"/>
            </w:tcMar>
            <w:vAlign w:val="center"/>
          </w:tcPr>
          <w:p w14:paraId="620A0FD6" w14:textId="010D31F8" w:rsidR="31E4B92B" w:rsidRPr="00D16290" w:rsidRDefault="78A837CE" w:rsidP="006E3D43">
            <w:pPr>
              <w:spacing w:line="360" w:lineRule="auto"/>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rPr>
            </w:pPr>
            <w:r w:rsidRPr="00D16290">
              <w:rPr>
                <w:rFonts w:ascii="Arial Narrow" w:eastAsia="Times New Roman" w:hAnsi="Arial Narrow" w:cs="Times New Roman"/>
              </w:rPr>
              <w:t>CPU</w:t>
            </w:r>
          </w:p>
        </w:tc>
        <w:tc>
          <w:tcPr>
            <w:tcW w:w="2995" w:type="dxa"/>
            <w:tcMar>
              <w:top w:w="60" w:type="dxa"/>
              <w:left w:w="120" w:type="dxa"/>
              <w:bottom w:w="60" w:type="dxa"/>
              <w:right w:w="120" w:type="dxa"/>
            </w:tcMar>
            <w:vAlign w:val="center"/>
          </w:tcPr>
          <w:p w14:paraId="0DA9F556" w14:textId="04143108" w:rsidR="31E4B92B" w:rsidRPr="00D16290" w:rsidRDefault="78A837CE" w:rsidP="006E3D43">
            <w:pPr>
              <w:spacing w:line="360" w:lineRule="auto"/>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rPr>
            </w:pPr>
            <w:r w:rsidRPr="00D16290">
              <w:rPr>
                <w:rFonts w:ascii="Arial Narrow" w:eastAsia="Times New Roman" w:hAnsi="Arial Narrow" w:cs="Times New Roman"/>
              </w:rPr>
              <w:t>CPU</w:t>
            </w:r>
          </w:p>
        </w:tc>
        <w:tc>
          <w:tcPr>
            <w:tcW w:w="2454" w:type="dxa"/>
            <w:gridSpan w:val="2"/>
            <w:tcMar>
              <w:top w:w="60" w:type="dxa"/>
              <w:left w:w="120" w:type="dxa"/>
              <w:bottom w:w="60" w:type="dxa"/>
              <w:right w:w="120" w:type="dxa"/>
            </w:tcMar>
            <w:vAlign w:val="center"/>
          </w:tcPr>
          <w:p w14:paraId="7B34A1D1" w14:textId="54C3ADBD" w:rsidR="31E4B92B" w:rsidRPr="00D16290" w:rsidRDefault="78A837CE" w:rsidP="006E3D43">
            <w:pPr>
              <w:spacing w:line="360" w:lineRule="auto"/>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rPr>
            </w:pPr>
            <w:r w:rsidRPr="00D16290">
              <w:rPr>
                <w:rFonts w:ascii="Arial Narrow" w:eastAsia="Times New Roman" w:hAnsi="Arial Narrow" w:cs="Times New Roman"/>
              </w:rPr>
              <w:t>CPU</w:t>
            </w:r>
          </w:p>
        </w:tc>
      </w:tr>
    </w:tbl>
    <w:p w14:paraId="63136866" w14:textId="3C89FFA6" w:rsidR="6F342662" w:rsidRPr="00D16290" w:rsidRDefault="6F342662" w:rsidP="006E3D43">
      <w:pPr>
        <w:spacing w:after="40"/>
        <w:jc w:val="both"/>
        <w:rPr>
          <w:rFonts w:ascii="Arial Narrow" w:eastAsia="Arial" w:hAnsi="Arial Narrow" w:cs="Arial"/>
        </w:rPr>
      </w:pPr>
      <w:r w:rsidRPr="00D16290">
        <w:rPr>
          <w:rFonts w:ascii="Arial Narrow" w:eastAsia="Arial" w:hAnsi="Arial Narrow" w:cs="Arial"/>
        </w:rPr>
        <w:t xml:space="preserve"> </w:t>
      </w:r>
    </w:p>
    <w:p w14:paraId="2084FBDC" w14:textId="64B97ABD" w:rsidR="31E4B92B" w:rsidRPr="00D16290" w:rsidRDefault="31E4B92B" w:rsidP="006E3D43">
      <w:pPr>
        <w:spacing w:before="60" w:after="160"/>
        <w:jc w:val="both"/>
        <w:rPr>
          <w:rFonts w:ascii="Arial Narrow" w:eastAsia="Arial" w:hAnsi="Arial Narrow" w:cs="Arial"/>
        </w:rPr>
      </w:pPr>
    </w:p>
    <w:p w14:paraId="6F21276C" w14:textId="0F06383E" w:rsidR="6F342662" w:rsidRPr="006E3D43" w:rsidRDefault="69E4B64C" w:rsidP="006E3D43">
      <w:pPr>
        <w:spacing w:after="120"/>
        <w:ind w:firstLine="720"/>
        <w:rPr>
          <w:rFonts w:eastAsia="Times New Roman" w:cs="Times New Roman"/>
        </w:rPr>
      </w:pPr>
      <w:r w:rsidRPr="006E3D43">
        <w:rPr>
          <w:rFonts w:eastAsia="Times New Roman" w:cs="Times New Roman"/>
        </w:rPr>
        <w:t>A lower confidence threshold of 0.20 was used for PNG sites to maximi</w:t>
      </w:r>
      <w:r w:rsidR="1DFD6381" w:rsidRPr="006E3D43">
        <w:rPr>
          <w:rFonts w:eastAsia="Times New Roman" w:cs="Times New Roman"/>
        </w:rPr>
        <w:t>z</w:t>
      </w:r>
      <w:r w:rsidRPr="006E3D43">
        <w:rPr>
          <w:rFonts w:eastAsia="Times New Roman" w:cs="Times New Roman"/>
        </w:rPr>
        <w:t>e building recall in conditions where most structures are obscured by tropical tree canopy and the model assigns lower confidence scores to partially visible rooftops. The resulting increase in false positives was managed through post-processing and manual QA. A threshold of 0.50 was retained for Solomon Islands and Fiji sites where canopy occlusion was less severe and detection quality was substantially better at this standard threshold.</w:t>
      </w:r>
    </w:p>
    <w:p w14:paraId="3C6E77D9" w14:textId="478EBF0A" w:rsidR="6F342662" w:rsidRPr="006E3D43" w:rsidRDefault="69E4B64C" w:rsidP="006E3D43">
      <w:pPr>
        <w:pStyle w:val="BodyText"/>
        <w:rPr>
          <w:rFonts w:eastAsia="Times New Roman"/>
        </w:rPr>
      </w:pPr>
      <w:r w:rsidRPr="006E3D43">
        <w:rPr>
          <w:rFonts w:eastAsia="Times New Roman"/>
        </w:rPr>
        <w:lastRenderedPageBreak/>
        <w:t xml:space="preserve"> Test Time Augmentation (TTA) was enabled at all sites. TTA runs each image tile through multiple geometric transformations (horizontal and vertical flips, rotations) and averages the resulting prediction scores, improving detection of buildings with non-standard orientations and producing smoother, more accurate polygon boundaries. Enabling TTA increased processing time but produced measurably better polygon quality compared to single-pass inference. The tile size of 256 pixels, reduced from an initial 512 pixels, was required to avoid memory exhaustion errors on CPU-only hardware during inference over full-scene AOIs.</w:t>
      </w:r>
    </w:p>
    <w:p w14:paraId="0AD5BC3E" w14:textId="4F0EED75" w:rsidR="6F342662" w:rsidRDefault="69E4B64C" w:rsidP="006E3D43">
      <w:pPr>
        <w:spacing w:after="80"/>
        <w:rPr>
          <w:rFonts w:ascii="Arial" w:eastAsia="Arial" w:hAnsi="Arial" w:cs="Arial"/>
          <w:sz w:val="22"/>
          <w:szCs w:val="22"/>
        </w:rPr>
      </w:pPr>
      <w:r w:rsidRPr="68F659C6">
        <w:rPr>
          <w:rFonts w:ascii="Arial" w:eastAsia="Arial" w:hAnsi="Arial" w:cs="Arial"/>
          <w:sz w:val="22"/>
          <w:szCs w:val="22"/>
        </w:rPr>
        <w:t xml:space="preserve"> </w:t>
      </w:r>
    </w:p>
    <w:p w14:paraId="16EFB50C" w14:textId="6F4CA647" w:rsidR="6F342662" w:rsidRPr="006E3D43" w:rsidRDefault="69E4B64C" w:rsidP="006E3D43">
      <w:pPr>
        <w:pStyle w:val="Head3"/>
        <w:rPr>
          <w:b w:val="0"/>
        </w:rPr>
      </w:pPr>
      <w:bookmarkStart w:id="73" w:name="_Toc228290456"/>
      <w:r w:rsidRPr="006E3D43">
        <w:t>Post-Processing Pipeline</w:t>
      </w:r>
      <w:bookmarkEnd w:id="73"/>
    </w:p>
    <w:p w14:paraId="742B9A7D" w14:textId="140526C9" w:rsidR="6F342662" w:rsidRPr="006E3D43" w:rsidRDefault="69E4B64C" w:rsidP="006E3D43">
      <w:pPr>
        <w:spacing w:after="120"/>
        <w:ind w:firstLine="720"/>
        <w:rPr>
          <w:rFonts w:eastAsia="Times New Roman" w:cs="Times New Roman"/>
        </w:rPr>
      </w:pPr>
      <w:r w:rsidRPr="006E3D43">
        <w:rPr>
          <w:rFonts w:eastAsia="Times New Roman" w:cs="Times New Roman"/>
        </w:rPr>
        <w:t>Raw detection outputs required a five-stage post-processing pipeline before building counts and metrics could be computed. The stages were applied in fixed sequence at all sites.</w:t>
      </w:r>
    </w:p>
    <w:p w14:paraId="6239225A" w14:textId="5956442A" w:rsidR="6F342662" w:rsidRPr="006E3D43" w:rsidRDefault="69E4B64C" w:rsidP="006E3D43">
      <w:pPr>
        <w:spacing w:after="80"/>
        <w:rPr>
          <w:rFonts w:eastAsia="Times New Roman" w:cs="Times New Roman"/>
        </w:rPr>
      </w:pPr>
      <w:r w:rsidRPr="006E3D43">
        <w:rPr>
          <w:rFonts w:eastAsia="Times New Roman" w:cs="Times New Roman"/>
        </w:rPr>
        <w:t xml:space="preserve"> </w:t>
      </w:r>
    </w:p>
    <w:p w14:paraId="4CB301FE" w14:textId="509A986F" w:rsidR="6F342662" w:rsidRPr="006E3D43" w:rsidRDefault="69E4B64C" w:rsidP="006E3D43">
      <w:pPr>
        <w:pStyle w:val="Head4"/>
      </w:pPr>
      <w:bookmarkStart w:id="74" w:name="_Toc228290457"/>
      <w:r w:rsidRPr="006E3D43">
        <w:t xml:space="preserve">Stage 1 </w:t>
      </w:r>
      <w:proofErr w:type="gramStart"/>
      <w:r w:rsidR="61F9F42B" w:rsidRPr="006E3D43">
        <w:t xml:space="preserve">- </w:t>
      </w:r>
      <w:r w:rsidRPr="006E3D43">
        <w:t xml:space="preserve"> AOI</w:t>
      </w:r>
      <w:proofErr w:type="gramEnd"/>
      <w:r w:rsidRPr="006E3D43">
        <w:t>/Coastal Clip</w:t>
      </w:r>
      <w:bookmarkEnd w:id="74"/>
    </w:p>
    <w:p w14:paraId="1783426A" w14:textId="0CDE2BEE" w:rsidR="6F342662" w:rsidRPr="006E3D43" w:rsidRDefault="69E4B64C" w:rsidP="006E3D43">
      <w:pPr>
        <w:spacing w:after="120"/>
        <w:ind w:firstLine="720"/>
        <w:rPr>
          <w:rFonts w:eastAsia="Times New Roman" w:cs="Times New Roman"/>
        </w:rPr>
      </w:pPr>
      <w:r w:rsidRPr="006E3D43">
        <w:rPr>
          <w:rFonts w:eastAsia="Times New Roman" w:cs="Times New Roman"/>
        </w:rPr>
        <w:t>Raw detection outputs were clipped to the ADB-provided settlement boundary polygons using the Clip geoprocessing tool. This step removed ocean false positives, off-settlement detections, and artefacts outside the study area. For Wailekutu, which spans two boundary polygons, the union of both polygons was used as the clip geometry so that detections within either polygon were retained.</w:t>
      </w:r>
    </w:p>
    <w:p w14:paraId="291E18E6" w14:textId="3B8FCE2E" w:rsidR="6F342662" w:rsidRPr="006E3D43" w:rsidRDefault="69E4B64C" w:rsidP="006E3D43">
      <w:pPr>
        <w:spacing w:after="80"/>
        <w:rPr>
          <w:rFonts w:eastAsia="Times New Roman" w:cs="Times New Roman"/>
        </w:rPr>
      </w:pPr>
      <w:r w:rsidRPr="006E3D43">
        <w:rPr>
          <w:rFonts w:eastAsia="Times New Roman" w:cs="Times New Roman"/>
        </w:rPr>
        <w:t xml:space="preserve"> </w:t>
      </w:r>
    </w:p>
    <w:p w14:paraId="5F65B3F8" w14:textId="1BFEE0FB" w:rsidR="6F342662" w:rsidRPr="006E3D43" w:rsidRDefault="69E4B64C" w:rsidP="006E3D43">
      <w:pPr>
        <w:pStyle w:val="Head4"/>
      </w:pPr>
      <w:bookmarkStart w:id="75" w:name="_Toc228290458"/>
      <w:r w:rsidRPr="006E3D43">
        <w:lastRenderedPageBreak/>
        <w:t xml:space="preserve">Stage 2 </w:t>
      </w:r>
      <w:r w:rsidR="1C0C57C8" w:rsidRPr="006E3D43">
        <w:t>-</w:t>
      </w:r>
      <w:r w:rsidRPr="006E3D43">
        <w:t xml:space="preserve"> Area Filter</w:t>
      </w:r>
      <w:bookmarkEnd w:id="75"/>
    </w:p>
    <w:p w14:paraId="57220A96" w14:textId="425C559A" w:rsidR="6F342662" w:rsidRPr="006E3D43" w:rsidRDefault="69E4B64C" w:rsidP="006E3D43">
      <w:pPr>
        <w:spacing w:after="120"/>
        <w:ind w:firstLine="720"/>
        <w:rPr>
          <w:rFonts w:eastAsia="Times New Roman" w:cs="Times New Roman"/>
        </w:rPr>
      </w:pPr>
      <w:r w:rsidRPr="006E3D43">
        <w:rPr>
          <w:rFonts w:eastAsia="Times New Roman" w:cs="Times New Roman"/>
        </w:rPr>
        <w:t>Detections with polygon areas below 12 m² were removed. This threshold was established through visual inspection of the smallest credible building footprints across the study sites and removes sub-building fragments, sensor noise artefacts, and false positives from small reflective surfaces. The same threshold was applied consistently across all sites and epochs to ensure comparability.</w:t>
      </w:r>
    </w:p>
    <w:p w14:paraId="288AEFFF" w14:textId="7F1D4411" w:rsidR="6F342662" w:rsidRPr="006E3D43" w:rsidRDefault="69E4B64C" w:rsidP="006E3D43">
      <w:pPr>
        <w:spacing w:after="80"/>
        <w:rPr>
          <w:rFonts w:eastAsia="Times New Roman" w:cs="Times New Roman"/>
        </w:rPr>
      </w:pPr>
      <w:r w:rsidRPr="006E3D43">
        <w:rPr>
          <w:rFonts w:eastAsia="Times New Roman" w:cs="Times New Roman"/>
        </w:rPr>
        <w:t xml:space="preserve"> </w:t>
      </w:r>
    </w:p>
    <w:p w14:paraId="50DD644F" w14:textId="440D7E03" w:rsidR="6F342662" w:rsidRPr="006E3D43" w:rsidRDefault="69E4B64C" w:rsidP="006E3D43">
      <w:pPr>
        <w:pStyle w:val="Head4"/>
      </w:pPr>
      <w:bookmarkStart w:id="76" w:name="_Toc228290459"/>
      <w:r w:rsidRPr="006E3D43">
        <w:t xml:space="preserve">Stage 3 </w:t>
      </w:r>
      <w:r w:rsidR="4ED33897" w:rsidRPr="006E3D43">
        <w:t xml:space="preserve">- </w:t>
      </w:r>
      <w:r w:rsidRPr="006E3D43">
        <w:t>Repair Geometry</w:t>
      </w:r>
      <w:bookmarkEnd w:id="76"/>
    </w:p>
    <w:p w14:paraId="0232DD6A" w14:textId="30025255" w:rsidR="6F342662" w:rsidRPr="006E3D43" w:rsidRDefault="69E4B64C" w:rsidP="006E3D43">
      <w:pPr>
        <w:spacing w:after="120"/>
        <w:ind w:firstLine="720"/>
        <w:rPr>
          <w:rFonts w:eastAsia="Times New Roman" w:cs="Times New Roman"/>
        </w:rPr>
      </w:pPr>
      <w:r w:rsidRPr="006E3D43">
        <w:rPr>
          <w:rFonts w:eastAsia="Times New Roman" w:cs="Times New Roman"/>
        </w:rPr>
        <w:t>The Repair Geometry tool was applied after area filtering to resolve self-intersecting polygons, null geometries, and topology errors that can accumulate during rasteri</w:t>
      </w:r>
      <w:r w:rsidR="1985F80F" w:rsidRPr="006E3D43">
        <w:rPr>
          <w:rFonts w:eastAsia="Times New Roman" w:cs="Times New Roman"/>
        </w:rPr>
        <w:t>z</w:t>
      </w:r>
      <w:r w:rsidRPr="006E3D43">
        <w:rPr>
          <w:rFonts w:eastAsia="Times New Roman" w:cs="Times New Roman"/>
        </w:rPr>
        <w:t xml:space="preserve">ation and polygon conversion steps. </w:t>
      </w:r>
      <w:r w:rsidR="78A837CE" w:rsidRPr="006E3D43">
        <w:rPr>
          <w:rFonts w:eastAsia="Times New Roman" w:cs="Times New Roman"/>
        </w:rPr>
        <w:t>This step is necessary before using the Regularize Building Footprints tool, as it helps prevent issues caused by corrupt geometry in the input feature class.</w:t>
      </w:r>
    </w:p>
    <w:p w14:paraId="0D081FB0" w14:textId="0CD848D6" w:rsidR="6F342662" w:rsidRPr="006E3D43" w:rsidRDefault="69E4B64C" w:rsidP="006E3D43">
      <w:pPr>
        <w:spacing w:after="80"/>
        <w:rPr>
          <w:rFonts w:eastAsia="Times New Roman" w:cs="Times New Roman"/>
        </w:rPr>
      </w:pPr>
      <w:r w:rsidRPr="006E3D43">
        <w:rPr>
          <w:rFonts w:eastAsia="Times New Roman" w:cs="Times New Roman"/>
        </w:rPr>
        <w:t xml:space="preserve"> </w:t>
      </w:r>
    </w:p>
    <w:p w14:paraId="56118F95" w14:textId="1B2D426B" w:rsidR="6F342662" w:rsidRPr="006E3D43" w:rsidRDefault="69E4B64C" w:rsidP="006E3D43">
      <w:pPr>
        <w:pStyle w:val="Head4"/>
      </w:pPr>
      <w:bookmarkStart w:id="77" w:name="_Toc228290460"/>
      <w:r w:rsidRPr="006E3D43">
        <w:t xml:space="preserve">Stage 4 </w:t>
      </w:r>
      <w:r w:rsidR="24739401" w:rsidRPr="006E3D43">
        <w:t xml:space="preserve">- </w:t>
      </w:r>
      <w:r w:rsidRPr="006E3D43">
        <w:t>Regularize Building Footprints</w:t>
      </w:r>
      <w:bookmarkEnd w:id="77"/>
    </w:p>
    <w:p w14:paraId="7041E530" w14:textId="694227F9" w:rsidR="6F342662" w:rsidRPr="006E3D43" w:rsidRDefault="69E4B64C" w:rsidP="006E3D43">
      <w:pPr>
        <w:spacing w:after="120"/>
        <w:ind w:firstLine="720"/>
        <w:rPr>
          <w:rFonts w:eastAsia="Times New Roman" w:cs="Times New Roman"/>
        </w:rPr>
      </w:pPr>
      <w:r w:rsidRPr="006E3D43">
        <w:rPr>
          <w:rFonts w:eastAsia="Times New Roman" w:cs="Times New Roman"/>
        </w:rPr>
        <w:t>The Regularize Building Footprints tool was applied with the RIGHT_ANGLES AND DIAGONALS method and a tolerance of 1.5 m. This tool snaps building polygon edges to rectilinear and diagonal angular patterns consistent with constructed buildings, removing the jagged, over-detailed boundaries produced by the deep learning segmentation step. A tolerance of 0.3 m, tested in early runs, produced boundaries that were still visually rough and required subsequent manual correction; 1.5 m was validated as producing clean, architecturally realistic footprint geometry without over-simplification of building outlines.</w:t>
      </w:r>
    </w:p>
    <w:p w14:paraId="140A76B5" w14:textId="3495F773" w:rsidR="6F342662" w:rsidRPr="006E3D43" w:rsidRDefault="69E4B64C" w:rsidP="006E3D43">
      <w:pPr>
        <w:spacing w:after="80"/>
        <w:rPr>
          <w:rFonts w:eastAsia="Times New Roman" w:cs="Times New Roman"/>
        </w:rPr>
      </w:pPr>
      <w:r w:rsidRPr="006E3D43">
        <w:rPr>
          <w:rFonts w:eastAsia="Times New Roman" w:cs="Times New Roman"/>
        </w:rPr>
        <w:lastRenderedPageBreak/>
        <w:t xml:space="preserve"> </w:t>
      </w:r>
    </w:p>
    <w:p w14:paraId="3DA2D0C9" w14:textId="7758F810" w:rsidR="6F342662" w:rsidRPr="006E3D43" w:rsidRDefault="69E4B64C" w:rsidP="006E3D43">
      <w:pPr>
        <w:pStyle w:val="Head4"/>
      </w:pPr>
      <w:bookmarkStart w:id="78" w:name="_Toc228290461"/>
      <w:r w:rsidRPr="006E3D43">
        <w:t xml:space="preserve">Stage 5 </w:t>
      </w:r>
      <w:r w:rsidR="38BB6E50" w:rsidRPr="006E3D43">
        <w:t xml:space="preserve">- </w:t>
      </w:r>
      <w:r w:rsidRPr="006E3D43">
        <w:t>Manual QA/QC</w:t>
      </w:r>
      <w:bookmarkEnd w:id="78"/>
    </w:p>
    <w:p w14:paraId="5B4BCCF4" w14:textId="4BC6A55D" w:rsidR="6F342662" w:rsidRDefault="69E4B64C" w:rsidP="006E3D43">
      <w:pPr>
        <w:spacing w:after="120"/>
        <w:ind w:firstLine="720"/>
        <w:rPr>
          <w:rFonts w:eastAsia="Times New Roman" w:cs="Times New Roman"/>
        </w:rPr>
      </w:pPr>
      <w:r w:rsidRPr="006E3D43">
        <w:rPr>
          <w:rFonts w:eastAsia="Times New Roman" w:cs="Times New Roman"/>
        </w:rPr>
        <w:t>Systematic manual editing was performed as the final post-processing stage. Three primary editing operations were performed: deletion of confirmed false positives, addition of manually digitized footprints for missed buildings (particularly those occluded by tree canopy), and splitting of merged multi-building polygons. Manual QA was applied to all sites and all epochs, with priority given to areas of known high false-positive density and confirmed missed-detection zones.</w:t>
      </w:r>
    </w:p>
    <w:p w14:paraId="1F3304E4" w14:textId="07E0040B" w:rsidR="418BF712" w:rsidRDefault="7CCDE34B" w:rsidP="006E3D43">
      <w:pPr>
        <w:pStyle w:val="Head3"/>
      </w:pPr>
      <w:bookmarkStart w:id="79" w:name="_Toc228290462"/>
      <w:r w:rsidRPr="68F659C6">
        <w:t>Urban Growth Metric Computation</w:t>
      </w:r>
      <w:bookmarkEnd w:id="79"/>
    </w:p>
    <w:p w14:paraId="31E4098C" w14:textId="02B84539" w:rsidR="418BF712" w:rsidRPr="006E3D43" w:rsidRDefault="7CCDE34B" w:rsidP="006E3D43">
      <w:pPr>
        <w:spacing w:after="100"/>
        <w:ind w:firstLine="720"/>
        <w:rPr>
          <w:rFonts w:eastAsia="Times New Roman" w:cs="Times New Roman"/>
          <w:color w:val="1A1A1A"/>
        </w:rPr>
      </w:pPr>
      <w:r w:rsidRPr="006E3D43">
        <w:rPr>
          <w:rFonts w:eastAsia="Times New Roman" w:cs="Times New Roman"/>
          <w:color w:val="1A1A1A"/>
        </w:rPr>
        <w:t>Four urban growth indicators were derived for each site and epoch from the QA-validated building footprint datasets, using an R-based statistical analysis pipeline. All metrics were computed within the ADB-provided settlement boundary area.</w:t>
      </w:r>
    </w:p>
    <w:p w14:paraId="6BAF6146" w14:textId="70E1E7D3" w:rsidR="418BF712" w:rsidRDefault="418BF712" w:rsidP="006E3D43">
      <w:pPr>
        <w:pStyle w:val="ListParagraph"/>
        <w:numPr>
          <w:ilvl w:val="0"/>
          <w:numId w:val="8"/>
        </w:numPr>
        <w:spacing w:after="40"/>
        <w:rPr>
          <w:rFonts w:eastAsia="Times New Roman" w:cs="Times New Roman"/>
          <w:color w:val="1A1A1A"/>
        </w:rPr>
      </w:pPr>
      <w:r w:rsidRPr="006E3D43">
        <w:rPr>
          <w:rFonts w:eastAsia="Times New Roman" w:cs="Times New Roman"/>
        </w:rPr>
        <w:t xml:space="preserve"> </w:t>
      </w:r>
      <w:r w:rsidRPr="006E3D43">
        <w:rPr>
          <w:rFonts w:eastAsia="Times New Roman" w:cs="Times New Roman"/>
          <w:b/>
          <w:bCs/>
          <w:color w:val="1A1A1A"/>
        </w:rPr>
        <w:t>Building count</w:t>
      </w:r>
      <w:r w:rsidR="21E8A12C" w:rsidRPr="31E4B92B">
        <w:rPr>
          <w:rFonts w:eastAsia="Times New Roman" w:cs="Times New Roman"/>
          <w:b/>
          <w:bCs/>
          <w:color w:val="1A1A1A"/>
        </w:rPr>
        <w:t xml:space="preserve">: </w:t>
      </w:r>
      <w:r w:rsidRPr="006E3D43">
        <w:rPr>
          <w:rFonts w:eastAsia="Times New Roman" w:cs="Times New Roman"/>
          <w:color w:val="1A1A1A"/>
        </w:rPr>
        <w:t>Total number of individual building polygon features after post-processing and QA.</w:t>
      </w:r>
    </w:p>
    <w:p w14:paraId="21DA4619" w14:textId="5FDEE27E" w:rsidR="418BF712" w:rsidRDefault="418BF712" w:rsidP="006E3D43">
      <w:pPr>
        <w:pStyle w:val="ListParagraph"/>
        <w:numPr>
          <w:ilvl w:val="0"/>
          <w:numId w:val="8"/>
        </w:numPr>
        <w:spacing w:after="40"/>
        <w:rPr>
          <w:rFonts w:eastAsia="Times New Roman" w:cs="Times New Roman"/>
          <w:color w:val="1A1A1A"/>
        </w:rPr>
      </w:pPr>
      <w:r w:rsidRPr="006E3D43">
        <w:rPr>
          <w:rFonts w:eastAsia="Times New Roman" w:cs="Times New Roman"/>
          <w:b/>
          <w:bCs/>
          <w:color w:val="1A1A1A"/>
        </w:rPr>
        <w:t>Settlement density</w:t>
      </w:r>
      <w:r w:rsidR="2B876AA9" w:rsidRPr="31E4B92B">
        <w:rPr>
          <w:rFonts w:eastAsia="Times New Roman" w:cs="Times New Roman"/>
          <w:b/>
          <w:bCs/>
          <w:color w:val="1A1A1A"/>
        </w:rPr>
        <w:t>:</w:t>
      </w:r>
      <w:r w:rsidRPr="006E3D43">
        <w:rPr>
          <w:rFonts w:eastAsia="Times New Roman" w:cs="Times New Roman"/>
          <w:b/>
          <w:bCs/>
          <w:color w:val="1A1A1A"/>
        </w:rPr>
        <w:t xml:space="preserve"> </w:t>
      </w:r>
      <w:r w:rsidRPr="006E3D43">
        <w:rPr>
          <w:rFonts w:eastAsia="Times New Roman" w:cs="Times New Roman"/>
          <w:color w:val="1A1A1A"/>
        </w:rPr>
        <w:t>Building count divided by settlement boundary area in hectares (structures/ha), benchmarked against the ADB Pacific informal settlement norm of 15–25 structures/ha.</w:t>
      </w:r>
    </w:p>
    <w:p w14:paraId="0358EEC4" w14:textId="379C5E49" w:rsidR="418BF712" w:rsidRDefault="418BF712" w:rsidP="006E3D43">
      <w:pPr>
        <w:pStyle w:val="ListParagraph"/>
        <w:numPr>
          <w:ilvl w:val="0"/>
          <w:numId w:val="8"/>
        </w:numPr>
        <w:spacing w:after="40"/>
        <w:rPr>
          <w:rFonts w:eastAsia="Times New Roman" w:cs="Times New Roman"/>
          <w:color w:val="1A1A1A"/>
        </w:rPr>
      </w:pPr>
      <w:r w:rsidRPr="006E3D43">
        <w:rPr>
          <w:rFonts w:eastAsia="Times New Roman" w:cs="Times New Roman"/>
          <w:b/>
          <w:bCs/>
          <w:color w:val="1A1A1A"/>
        </w:rPr>
        <w:t>Built-up coverage</w:t>
      </w:r>
      <w:r w:rsidR="7FBA0835" w:rsidRPr="31E4B92B">
        <w:rPr>
          <w:rFonts w:eastAsia="Times New Roman" w:cs="Times New Roman"/>
          <w:b/>
          <w:bCs/>
          <w:color w:val="1A1A1A"/>
        </w:rPr>
        <w:t xml:space="preserve">: </w:t>
      </w:r>
      <w:r w:rsidRPr="006E3D43">
        <w:rPr>
          <w:rFonts w:eastAsia="Times New Roman" w:cs="Times New Roman"/>
          <w:color w:val="1A1A1A"/>
        </w:rPr>
        <w:t>Ratio of total building footprint area to settlement boundary area, expressed as a percentage.</w:t>
      </w:r>
    </w:p>
    <w:p w14:paraId="4DA0C4CC" w14:textId="72E2F8C5" w:rsidR="418BF712" w:rsidRPr="006E3D43" w:rsidRDefault="418BF712" w:rsidP="006E3D43">
      <w:pPr>
        <w:pStyle w:val="ListParagraph"/>
        <w:numPr>
          <w:ilvl w:val="0"/>
          <w:numId w:val="8"/>
        </w:numPr>
        <w:spacing w:after="40"/>
        <w:rPr>
          <w:rFonts w:eastAsia="Times New Roman" w:cs="Times New Roman"/>
          <w:color w:val="1A1A1A"/>
        </w:rPr>
      </w:pPr>
      <w:r w:rsidRPr="006E3D43">
        <w:rPr>
          <w:rFonts w:eastAsia="Times New Roman" w:cs="Times New Roman"/>
          <w:b/>
          <w:bCs/>
          <w:color w:val="1A1A1A"/>
        </w:rPr>
        <w:t>Compound Annual Growth Rate (CAGR)</w:t>
      </w:r>
      <w:r w:rsidR="7C930B9C" w:rsidRPr="31E4B92B">
        <w:rPr>
          <w:rFonts w:eastAsia="Times New Roman" w:cs="Times New Roman"/>
          <w:b/>
          <w:bCs/>
          <w:color w:val="1A1A1A"/>
        </w:rPr>
        <w:t xml:space="preserve">: </w:t>
      </w:r>
      <w:r w:rsidRPr="006E3D43">
        <w:rPr>
          <w:rFonts w:eastAsia="Times New Roman" w:cs="Times New Roman"/>
          <w:b/>
          <w:bCs/>
          <w:color w:val="1A1A1A"/>
        </w:rPr>
        <w:t xml:space="preserve"> </w:t>
      </w:r>
      <w:r w:rsidRPr="006E3D43">
        <w:rPr>
          <w:rFonts w:eastAsia="Times New Roman" w:cs="Times New Roman"/>
          <w:color w:val="1A1A1A"/>
        </w:rPr>
        <w:t xml:space="preserve">Computed between consecutive epochs as CAGR = (End Count ÷ Start </w:t>
      </w:r>
      <w:proofErr w:type="gramStart"/>
      <w:r w:rsidRPr="006E3D43">
        <w:rPr>
          <w:rFonts w:eastAsia="Times New Roman" w:cs="Times New Roman"/>
          <w:color w:val="1A1A1A"/>
        </w:rPr>
        <w:t>Count)^</w:t>
      </w:r>
      <w:proofErr w:type="gramEnd"/>
      <w:r w:rsidRPr="006E3D43">
        <w:rPr>
          <w:rFonts w:eastAsia="Times New Roman" w:cs="Times New Roman"/>
          <w:color w:val="1A1A1A"/>
        </w:rPr>
        <w:t>(1 ÷ n years) − 1, benchmarked against the ADB Melanesian urban expansion norm of 3–4%/yr.</w:t>
      </w:r>
    </w:p>
    <w:p w14:paraId="0CF62BB8" w14:textId="78C20C78" w:rsidR="007D7E00" w:rsidRDefault="007D7E00" w:rsidP="007F6700">
      <w:pPr>
        <w:pStyle w:val="Head2"/>
      </w:pPr>
      <w:bookmarkStart w:id="80" w:name="_Toc219446491"/>
      <w:bookmarkStart w:id="81" w:name="_Toc228290463"/>
      <w:r>
        <w:lastRenderedPageBreak/>
        <w:t xml:space="preserve">Seismic </w:t>
      </w:r>
      <w:r w:rsidR="714DDFB8">
        <w:t>Risk</w:t>
      </w:r>
      <w:bookmarkEnd w:id="81"/>
    </w:p>
    <w:p w14:paraId="3E2AE16D" w14:textId="1520773B" w:rsidR="00E731A4" w:rsidRDefault="27C29CB1" w:rsidP="007A325D">
      <w:pPr>
        <w:pStyle w:val="BodyText"/>
      </w:pPr>
      <w:r w:rsidRPr="4AABECD9">
        <w:t xml:space="preserve">The Earth is seismically active because its tectonic plates are in constant motion. Most seismic and volcanic activity occurs along plate boundaries, where friction can temporarily lock plates in place until accumulated stress is released suddenly as an earthquake. Many of the most active regions, particularly around the </w:t>
      </w:r>
      <w:proofErr w:type="gramStart"/>
      <w:r w:rsidRPr="4AABECD9">
        <w:t>Pacific “Ring of Fire”</w:t>
      </w:r>
      <w:proofErr w:type="gramEnd"/>
      <w:r w:rsidRPr="4AABECD9">
        <w:t xml:space="preserve"> are located where one plate is </w:t>
      </w:r>
      <w:proofErr w:type="gramStart"/>
      <w:r w:rsidRPr="4AABECD9">
        <w:t>subducting</w:t>
      </w:r>
      <w:proofErr w:type="gramEnd"/>
      <w:r w:rsidRPr="4AABECD9">
        <w:t xml:space="preserve"> beneath another</w:t>
      </w:r>
      <w:r w:rsidR="007E0543">
        <w:t xml:space="preserve"> (</w:t>
      </w:r>
      <w:r w:rsidR="007E0543">
        <w:fldChar w:fldCharType="begin"/>
      </w:r>
      <w:r w:rsidR="007E0543">
        <w:instrText xml:space="preserve"> REF _Ref228290669 \h </w:instrText>
      </w:r>
      <w:r w:rsidR="007E0543">
        <w:fldChar w:fldCharType="separate"/>
      </w:r>
      <w:r w:rsidR="007E0543">
        <w:t xml:space="preserve">Figure </w:t>
      </w:r>
      <w:r w:rsidR="007E0543">
        <w:rPr>
          <w:noProof/>
        </w:rPr>
        <w:t>5</w:t>
      </w:r>
      <w:r w:rsidR="007E0543">
        <w:fldChar w:fldCharType="end"/>
      </w:r>
      <w:r w:rsidR="007E0543">
        <w:t>)</w:t>
      </w:r>
      <w:r w:rsidRPr="4AABECD9">
        <w:t>. Human exposure to seismic hazards depends on both the level of tectonic activity at these boundaries and the proximity of populations and infrastructure.</w:t>
      </w:r>
    </w:p>
    <w:p w14:paraId="2D5B500D" w14:textId="39064567" w:rsidR="27C29CB1" w:rsidRDefault="27C29CB1" w:rsidP="007A325D">
      <w:pPr>
        <w:pStyle w:val="BodyText"/>
      </w:pPr>
      <w:r w:rsidRPr="4AABECD9">
        <w:t>Seismic hazards pose significant risks to coastal infrastructure, transportation networks, energy systems, and public safety. Strong ground shaking can damage ports, roads, bridges, and utilities, while tsunamis can inundate low-lying coastal zones where critical facilities and communities are concentrated. These impacts can isolate populations, disrupt essential services, and slow emergency response and long-term recovery.</w:t>
      </w:r>
    </w:p>
    <w:p w14:paraId="382B1941" w14:textId="7DF7A579" w:rsidR="27C29CB1" w:rsidRDefault="27C29CB1" w:rsidP="007A325D">
      <w:pPr>
        <w:pStyle w:val="BodyText"/>
      </w:pPr>
      <w:r w:rsidRPr="4AABECD9">
        <w:t>The most destructive tsunamis in recent history have been triggered by underwater earthquakes, although landslides, volcanic activity, atmospheric disturbances, and meteorite impacts can also generate them (</w:t>
      </w:r>
      <w:proofErr w:type="spellStart"/>
      <w:r w:rsidRPr="4AABECD9">
        <w:t>Grezio</w:t>
      </w:r>
      <w:proofErr w:type="spellEnd"/>
      <w:r w:rsidRPr="4AABECD9">
        <w:t xml:space="preserve"> </w:t>
      </w:r>
      <w:r w:rsidR="00A413E8">
        <w:t>and others</w:t>
      </w:r>
      <w:r w:rsidRPr="4AABECD9">
        <w:t>, 2017). The most common source remains large earthquakes near subduction zones, where one tectonic plate descends beneath another. Tsunami waves can travel across entire ocean basins, making exposure to open ocean and local elevation key determinants of risk. For low-lying atolls, tsunami hazards may exceed the threat posed by ground shaking.</w:t>
      </w:r>
    </w:p>
    <w:p w14:paraId="77790525" w14:textId="4287320C" w:rsidR="2516A364" w:rsidRDefault="2516A364" w:rsidP="003E1F8B">
      <w:pPr>
        <w:pStyle w:val="BodyText"/>
        <w:ind w:firstLine="0"/>
        <w:rPr>
          <w:rFonts w:ascii="Aptos" w:eastAsia="Aptos" w:hAnsi="Aptos" w:cs="Aptos"/>
          <w:color w:val="000000" w:themeColor="text1"/>
        </w:rPr>
      </w:pPr>
      <w:r>
        <w:rPr>
          <w:noProof/>
        </w:rPr>
        <w:lastRenderedPageBreak/>
        <w:drawing>
          <wp:inline distT="0" distB="0" distL="0" distR="0" wp14:anchorId="4DB11F4E" wp14:editId="6203FABB">
            <wp:extent cx="5772150" cy="5600700"/>
            <wp:effectExtent l="0" t="0" r="0" b="0"/>
            <wp:docPr id="104813031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130319" name="Picture 1048130319"/>
                    <pic:cNvPicPr/>
                  </pic:nvPicPr>
                  <pic:blipFill>
                    <a:blip r:embed="rId25">
                      <a:extLst>
                        <a:ext uri="{28A0092B-C50C-407E-A947-70E740481C1C}">
                          <a14:useLocalDpi xmlns:a14="http://schemas.microsoft.com/office/drawing/2010/main"/>
                        </a:ext>
                      </a:extLst>
                    </a:blip>
                    <a:stretch>
                      <a:fillRect/>
                    </a:stretch>
                  </pic:blipFill>
                  <pic:spPr>
                    <a:xfrm>
                      <a:off x="0" y="0"/>
                      <a:ext cx="5772150" cy="5600700"/>
                    </a:xfrm>
                    <a:prstGeom prst="rect">
                      <a:avLst/>
                    </a:prstGeom>
                  </pic:spPr>
                </pic:pic>
              </a:graphicData>
            </a:graphic>
          </wp:inline>
        </w:drawing>
      </w:r>
    </w:p>
    <w:p w14:paraId="6F9F2F19" w14:textId="443DD222" w:rsidR="4AABECD9" w:rsidRDefault="007A325D" w:rsidP="0059221D">
      <w:pPr>
        <w:pStyle w:val="Caption"/>
      </w:pPr>
      <w:bookmarkStart w:id="82" w:name="_Ref228290669"/>
      <w:bookmarkStart w:id="83" w:name="_Toc228290764"/>
      <w:r>
        <w:t xml:space="preserve">Figure </w:t>
      </w:r>
      <w:r>
        <w:fldChar w:fldCharType="begin"/>
      </w:r>
      <w:r>
        <w:instrText xml:space="preserve"> SEQ Figure \* ARABIC </w:instrText>
      </w:r>
      <w:r>
        <w:fldChar w:fldCharType="separate"/>
      </w:r>
      <w:r>
        <w:rPr>
          <w:noProof/>
        </w:rPr>
        <w:t>5</w:t>
      </w:r>
      <w:r>
        <w:fldChar w:fldCharType="end"/>
      </w:r>
      <w:bookmarkEnd w:id="82"/>
      <w:r>
        <w:t xml:space="preserve">. </w:t>
      </w:r>
      <w:r w:rsidRPr="007E37AE">
        <w:t>Pacific Plate boundaries and relative motion. Source: USGS. Public Domain.</w:t>
      </w:r>
      <w:bookmarkEnd w:id="83"/>
    </w:p>
    <w:p w14:paraId="05AA2EAD" w14:textId="77777777" w:rsidR="00C153E7" w:rsidRDefault="00C153E7" w:rsidP="007A325D">
      <w:pPr>
        <w:pStyle w:val="BodyText"/>
        <w:ind w:firstLine="0"/>
      </w:pPr>
    </w:p>
    <w:p w14:paraId="323A402E" w14:textId="77777777" w:rsidR="007A325D" w:rsidRDefault="007A325D" w:rsidP="007A325D">
      <w:pPr>
        <w:pStyle w:val="BodyText"/>
        <w:ind w:firstLine="0"/>
      </w:pPr>
    </w:p>
    <w:p w14:paraId="3D48195E" w14:textId="77777777" w:rsidR="007A325D" w:rsidRDefault="007A325D" w:rsidP="003E1F8B">
      <w:pPr>
        <w:rPr>
          <w:rFonts w:ascii="Aptos" w:eastAsia="Aptos" w:hAnsi="Aptos" w:cs="Aptos"/>
          <w:b/>
          <w:bCs/>
          <w:color w:val="000000" w:themeColor="text1"/>
        </w:rPr>
      </w:pPr>
    </w:p>
    <w:p w14:paraId="7B42EA83" w14:textId="5D52670C" w:rsidR="78D0C253" w:rsidRDefault="110B874A" w:rsidP="007A325D">
      <w:pPr>
        <w:pStyle w:val="Head3"/>
      </w:pPr>
      <w:r w:rsidRPr="405E449B">
        <w:lastRenderedPageBreak/>
        <w:t>PAGER Earthquake Reporting</w:t>
      </w:r>
    </w:p>
    <w:p w14:paraId="189CAD8A" w14:textId="1DD11FBA" w:rsidR="78D0C253" w:rsidRDefault="110B874A" w:rsidP="007A325D">
      <w:pPr>
        <w:pStyle w:val="BodyText"/>
      </w:pPr>
      <w:r w:rsidRPr="405E449B">
        <w:t>The U.S. Geological Survey’s Prompt Assessment of Global Earthquakes for Response (PAGER) system is designed to deliver rapid, automated estimates of an earthquake’s potential human and infrastructural impacts within minutes of its occurrence. Immediately after a significant event, PAGER evaluates the number of people exposed to various levels of ground shaking and identifies shaking intensities in affected cities. These assessments are accompanied by maps showing population distribution and modeled shaking levels, providing an early overview of potential impact zones.</w:t>
      </w:r>
      <w:r w:rsidR="007A325D">
        <w:t xml:space="preserve"> </w:t>
      </w:r>
      <w:r w:rsidRPr="405E449B">
        <w:t>Each PAGER report includes region-specific commentary describing the vulnerability of local building stock and, when relevant, summaries of recent nearby earthquakes and their effects. The results are posted on the USGS Earthquake Program website and distributed in near real time to emergency responders, government agencies, and the media as a concise, one-page situational awareness product.</w:t>
      </w:r>
    </w:p>
    <w:p w14:paraId="75A4E096" w14:textId="48EE24BF" w:rsidR="78D0C253" w:rsidRDefault="110B874A" w:rsidP="007A325D">
      <w:pPr>
        <w:pStyle w:val="BodyText"/>
      </w:pPr>
      <w:r w:rsidRPr="405E449B">
        <w:t xml:space="preserve">Both automated and manual updates refine these assessments in the hours following an earthquake, incorporating improved estimates of event location, magnitude, fault geometry, and firsthand shaking reports. The system integrates data from multiple USGS and Advanced National Seismic System (ANSS) tools. Ongoing research aims to expand PAGER’s capabilities beyond exposure estimates toward near real-time predictions of fatalities, injuries, and displaced populations, further enhancing its value for emergency response and humanitarian planning (Earle </w:t>
      </w:r>
      <w:r w:rsidR="00A413E8">
        <w:t>and others</w:t>
      </w:r>
      <w:r w:rsidRPr="405E449B">
        <w:t>, 2009).</w:t>
      </w:r>
    </w:p>
    <w:p w14:paraId="0EDED070" w14:textId="77777777" w:rsidR="00A413E8" w:rsidRDefault="00A413E8" w:rsidP="00A413E8">
      <w:pPr>
        <w:pStyle w:val="BodyText"/>
      </w:pPr>
      <w:bookmarkStart w:id="84" w:name="_Toc507583995"/>
      <w:bookmarkStart w:id="85" w:name="_Toc507584049"/>
      <w:bookmarkStart w:id="86" w:name="_Toc531073720"/>
      <w:bookmarkStart w:id="87" w:name="_Toc228290464"/>
      <w:bookmarkEnd w:id="80"/>
    </w:p>
    <w:p w14:paraId="5C01DA49" w14:textId="7304813C" w:rsidR="0061678F" w:rsidRDefault="00DA6B7A" w:rsidP="00817B66">
      <w:pPr>
        <w:pStyle w:val="Head1"/>
      </w:pPr>
      <w:r w:rsidRPr="00817B66">
        <w:lastRenderedPageBreak/>
        <w:t>Summary</w:t>
      </w:r>
      <w:bookmarkEnd w:id="84"/>
      <w:bookmarkEnd w:id="85"/>
      <w:bookmarkEnd w:id="86"/>
      <w:bookmarkEnd w:id="87"/>
    </w:p>
    <w:p w14:paraId="0EFFBFCD" w14:textId="5D7AE106" w:rsidR="00827B6B" w:rsidRPr="00827B6B" w:rsidRDefault="6D7E1553" w:rsidP="003E1F8B">
      <w:pPr>
        <w:pStyle w:val="BodyText"/>
      </w:pPr>
      <w:r>
        <w:t>This report synthesizes recent advances in applying remote sensing to water resource assessment, drought monitoring, and the mapping of informal settlements in Pacific Island communities. Satellite</w:t>
      </w:r>
      <w:r w:rsidR="00205B4E">
        <w:t xml:space="preserve"> </w:t>
      </w:r>
      <w:r>
        <w:t>derived observations, combined with quality</w:t>
      </w:r>
      <w:r w:rsidR="00205B4E">
        <w:t xml:space="preserve"> </w:t>
      </w:r>
      <w:r>
        <w:t xml:space="preserve">assured building footprint datasets, support the evaluation of urban growth, water availability, and exposure to natural hazards. Surface water availability was assessed using remotely sensed imagery to delineate drainage basins and estimate freshwater resources. </w:t>
      </w:r>
      <w:r w:rsidR="0070222A">
        <w:t>Hi</w:t>
      </w:r>
      <w:r w:rsidR="00827B6B" w:rsidRPr="00827B6B">
        <w:t>storical</w:t>
      </w:r>
      <w:r>
        <w:t xml:space="preserve"> precipitation data were analyzed to identify long</w:t>
      </w:r>
      <w:r w:rsidR="00205B4E">
        <w:t xml:space="preserve"> </w:t>
      </w:r>
      <w:r>
        <w:t>term trends and seasonal variability</w:t>
      </w:r>
      <w:r w:rsidR="00B27BEF">
        <w:t xml:space="preserve"> from 1998 to current</w:t>
      </w:r>
      <w:r>
        <w:t>, revealing that although the islands generally maintain a positive water balance, irregular rainfall patterns can result in acute water shortages. Drought indices helped pinpoint periods of heightened water stress and identify vulnerable communities in need of targeted mitigation.</w:t>
      </w:r>
    </w:p>
    <w:p w14:paraId="046DE6EE" w14:textId="77777777" w:rsidR="00827B6B" w:rsidRPr="00827B6B" w:rsidRDefault="00827B6B" w:rsidP="003E1F8B">
      <w:pPr>
        <w:pStyle w:val="BodyText"/>
      </w:pPr>
      <w:r w:rsidRPr="00827B6B">
        <w:t>Informal settlement mapping relied on QA</w:t>
      </w:r>
      <w:r w:rsidRPr="00827B6B">
        <w:noBreakHyphen/>
        <w:t>validated building footprint datasets refined through manual review to correct false positives and separate merged structures. For each site and time period, indicators such as building count, settlement density, built</w:t>
      </w:r>
      <w:r w:rsidRPr="00827B6B">
        <w:noBreakHyphen/>
        <w:t>up area, and Compound Annual Growth Rate (CAGR) were calculated and benchmarked against regional norms to quantify patterns of urban expansion.</w:t>
      </w:r>
    </w:p>
    <w:p w14:paraId="0740E892" w14:textId="77777777" w:rsidR="00827B6B" w:rsidRPr="00827B6B" w:rsidRDefault="00827B6B" w:rsidP="003E1F8B">
      <w:pPr>
        <w:pStyle w:val="BodyText"/>
      </w:pPr>
      <w:r w:rsidRPr="00827B6B">
        <w:t>Seismic risk analysis incorporated tectonic plate boundary data and historical seismic records to identify areas of elevated hazard within the Pacific “Ring of Fire.” Assessments considered settlement proximity to plate boundaries, local topography, and the effectiveness of existing early warning systems to determine population exposure to earthquakes and tsunamis.</w:t>
      </w:r>
    </w:p>
    <w:p w14:paraId="6026CDAD" w14:textId="2965D65C" w:rsidR="00827B6B" w:rsidRPr="00827B6B" w:rsidRDefault="00827B6B" w:rsidP="003E1F8B">
      <w:pPr>
        <w:pStyle w:val="BodyText"/>
      </w:pPr>
      <w:r w:rsidRPr="00827B6B">
        <w:t xml:space="preserve">Collaboration between the U.S. Geological Survey (USGS) and the Asian Development Bank (ADB) enabled the effective use of remote sensing tools to address both water insecurity </w:t>
      </w:r>
      <w:r w:rsidRPr="00827B6B">
        <w:lastRenderedPageBreak/>
        <w:t>and natural hazard risks. Together, the findings illustrate how population growth, infrastructure development, and environmental pressures intersect, offering a framework for resilience planning across Pacific Island communities.</w:t>
      </w:r>
    </w:p>
    <w:p w14:paraId="3807235C" w14:textId="77777777" w:rsidR="00877ABC" w:rsidRDefault="00877ABC" w:rsidP="003E1F8B">
      <w:pPr>
        <w:pStyle w:val="BodyText"/>
      </w:pPr>
      <w:bookmarkStart w:id="88" w:name="_Toc507583996"/>
      <w:bookmarkStart w:id="89" w:name="_Toc507584050"/>
      <w:bookmarkStart w:id="90" w:name="_Toc531073723"/>
    </w:p>
    <w:p w14:paraId="3A1FCCB1" w14:textId="05BCD369" w:rsidR="00DA6B7A" w:rsidRDefault="00DA6B7A" w:rsidP="00DA6B7A">
      <w:pPr>
        <w:pStyle w:val="RefHeadBack"/>
      </w:pPr>
      <w:bookmarkStart w:id="91" w:name="_Toc228290465"/>
      <w:r>
        <w:t>References Cited</w:t>
      </w:r>
      <w:bookmarkEnd w:id="88"/>
      <w:bookmarkEnd w:id="89"/>
      <w:bookmarkEnd w:id="90"/>
      <w:bookmarkEnd w:id="91"/>
    </w:p>
    <w:bookmarkEnd w:id="3"/>
    <w:bookmarkEnd w:id="4"/>
    <w:p w14:paraId="2685622F" w14:textId="54BC65F7" w:rsidR="00C34FA1" w:rsidRPr="00A413E8" w:rsidRDefault="00B85391" w:rsidP="00A413E8">
      <w:pPr>
        <w:pStyle w:val="Reference"/>
      </w:pPr>
      <w:r w:rsidRPr="00A413E8">
        <w:t>ADB, 196</w:t>
      </w:r>
      <w:r w:rsidR="008D177F" w:rsidRPr="00A413E8">
        <w:t>5</w:t>
      </w:r>
      <w:r w:rsidRPr="00A413E8">
        <w:t xml:space="preserve">, Agreement establishing the Asian Development Bank signed at Manila, Dec. 4, 1965; entered into force Aug. 22, 1966, United Nations Treaty Series, vol. 608, p. 380. </w:t>
      </w:r>
      <w:r w:rsidR="00D42F9D" w:rsidRPr="00A413E8">
        <w:t xml:space="preserve"> Available at: </w:t>
      </w:r>
      <w:hyperlink r:id="rId26" w:history="1">
        <w:r w:rsidR="00784DB2" w:rsidRPr="00A413E8">
          <w:rPr>
            <w:rStyle w:val="Hyperlink"/>
            <w:color w:val="auto"/>
          </w:rPr>
          <w:t>Agreement Establishing the Asian Development Bank (ADB Charter)</w:t>
        </w:r>
      </w:hyperlink>
      <w:r w:rsidR="00784DB2" w:rsidRPr="00A413E8">
        <w:t>. Accessed 29 January 2026.</w:t>
      </w:r>
    </w:p>
    <w:p w14:paraId="28638EA6" w14:textId="5FB464A1" w:rsidR="00937756" w:rsidRPr="00A413E8" w:rsidRDefault="00937756" w:rsidP="00A413E8">
      <w:pPr>
        <w:pStyle w:val="Reference"/>
      </w:pPr>
      <w:r w:rsidRPr="00A413E8">
        <w:t xml:space="preserve">Bijeesh, T.V. and K.N. </w:t>
      </w:r>
      <w:proofErr w:type="spellStart"/>
      <w:r w:rsidRPr="00A413E8">
        <w:t>Narasimhamurthy</w:t>
      </w:r>
      <w:proofErr w:type="spellEnd"/>
      <w:r w:rsidRPr="00A413E8">
        <w:t>. 2020. Surface water detection and delineation using remote sensing images: a review of methods and algorithms</w:t>
      </w:r>
      <w:r w:rsidR="00405283" w:rsidRPr="00A413E8">
        <w:t>. Sustainable Water Resources Management (2020) 6: 68.</w:t>
      </w:r>
      <w:r w:rsidR="006A0F94" w:rsidRPr="00A413E8">
        <w:t xml:space="preserve"> </w:t>
      </w:r>
      <w:hyperlink r:id="rId27" w:history="1">
        <w:r w:rsidR="00B63261" w:rsidRPr="00A413E8">
          <w:rPr>
            <w:rStyle w:val="Hyperlink"/>
            <w:color w:val="auto"/>
          </w:rPr>
          <w:t>https://doi.org/10.1007/s40899-020-00425-4</w:t>
        </w:r>
      </w:hyperlink>
      <w:r w:rsidR="00B63261" w:rsidRPr="00A413E8">
        <w:t>.</w:t>
      </w:r>
    </w:p>
    <w:p w14:paraId="68A538DF" w14:textId="786345AE" w:rsidR="00B63261" w:rsidRPr="00A413E8" w:rsidRDefault="00C97C8E" w:rsidP="00A413E8">
      <w:pPr>
        <w:pStyle w:val="Reference"/>
      </w:pPr>
      <w:r w:rsidRPr="00A413E8">
        <w:t xml:space="preserve">Che, </w:t>
      </w:r>
      <w:proofErr w:type="spellStart"/>
      <w:r w:rsidRPr="00A413E8">
        <w:t>Lusheng</w:t>
      </w:r>
      <w:proofErr w:type="spellEnd"/>
      <w:r w:rsidRPr="00A413E8">
        <w:t xml:space="preserve">, </w:t>
      </w:r>
      <w:proofErr w:type="spellStart"/>
      <w:r w:rsidRPr="00A413E8">
        <w:t>Shuangshuang</w:t>
      </w:r>
      <w:proofErr w:type="spellEnd"/>
      <w:r w:rsidRPr="00A413E8">
        <w:t xml:space="preserve"> Li, and Xianfeng Liu. 2025. Improved surface water mapping using satellite remote sensing imagery based on optimization of the Otsu threshold and effective selection o</w:t>
      </w:r>
      <w:r w:rsidR="00230C16" w:rsidRPr="00A413E8">
        <w:t>f</w:t>
      </w:r>
      <w:r w:rsidRPr="00A413E8">
        <w:t xml:space="preserve"> remote-sensing water index. </w:t>
      </w:r>
      <w:r w:rsidR="00850841" w:rsidRPr="00A413E8">
        <w:t xml:space="preserve">Journal of Hydrology 654 (2025) 132771. </w:t>
      </w:r>
      <w:hyperlink r:id="rId28" w:history="1">
        <w:r w:rsidR="4A151EB1" w:rsidRPr="00A413E8">
          <w:rPr>
            <w:rStyle w:val="Hyperlink"/>
            <w:color w:val="auto"/>
          </w:rPr>
          <w:t>h</w:t>
        </w:r>
      </w:hyperlink>
      <w:r w:rsidR="4A151EB1" w:rsidRPr="00A413E8">
        <w:t>ttps://doi.org/10.1016/j.jhydrol.2025.132771</w:t>
      </w:r>
      <w:r w:rsidR="009634E6" w:rsidRPr="00A413E8">
        <w:t>.</w:t>
      </w:r>
    </w:p>
    <w:p w14:paraId="4235BFD8" w14:textId="6FD05332" w:rsidR="386A8849" w:rsidRPr="00A413E8" w:rsidRDefault="386A8849" w:rsidP="00A413E8">
      <w:pPr>
        <w:pStyle w:val="Reference"/>
      </w:pPr>
      <w:r w:rsidRPr="00A413E8">
        <w:t xml:space="preserve">Grezio, A., </w:t>
      </w:r>
      <w:proofErr w:type="spellStart"/>
      <w:r w:rsidRPr="00A413E8">
        <w:t>Babeyko</w:t>
      </w:r>
      <w:proofErr w:type="spellEnd"/>
      <w:r w:rsidRPr="00A413E8">
        <w:t xml:space="preserve">, A., Baptista, M. A., Behrens, J., Costa, A., Davies, G., Geist, E. L., </w:t>
      </w:r>
      <w:proofErr w:type="spellStart"/>
      <w:r w:rsidRPr="00A413E8">
        <w:t>Glimsdal</w:t>
      </w:r>
      <w:proofErr w:type="spellEnd"/>
      <w:r w:rsidRPr="00A413E8">
        <w:t xml:space="preserve">, S., González, F. I., Griffin, J., </w:t>
      </w:r>
      <w:proofErr w:type="spellStart"/>
      <w:r w:rsidRPr="00A413E8">
        <w:t>Harbitz</w:t>
      </w:r>
      <w:proofErr w:type="spellEnd"/>
      <w:r w:rsidRPr="00A413E8">
        <w:t>, C. B., and others. (2017). Probabilistic tsunami hazard analysis: Multiple sources and global applications. Reviews of Geophysics, 55, 1158–1198. https://doi.org/10.1002/2017RG000579</w:t>
      </w:r>
    </w:p>
    <w:p w14:paraId="04F3EFC5" w14:textId="6E8B790F" w:rsidR="6C79A966" w:rsidRPr="00A413E8" w:rsidRDefault="6C79A966" w:rsidP="00A413E8">
      <w:pPr>
        <w:pStyle w:val="Reference"/>
      </w:pPr>
    </w:p>
    <w:p w14:paraId="1C708811" w14:textId="53B39C4B" w:rsidR="00A87139" w:rsidRPr="00A413E8" w:rsidRDefault="00A87139" w:rsidP="00A413E8">
      <w:pPr>
        <w:pStyle w:val="Reference"/>
      </w:pPr>
      <w:r w:rsidRPr="00A413E8">
        <w:lastRenderedPageBreak/>
        <w:t>Hou, Jiawei, Albert I.J.M. van Dijk, and Hylke E. Be</w:t>
      </w:r>
      <w:r w:rsidR="00BE32E3" w:rsidRPr="00A413E8">
        <w:t>ck. 2020. Global satellite-based gaging and the influence of river morphology on its application. Remote Sensing of Environment 239 (2020) 111629</w:t>
      </w:r>
      <w:r w:rsidR="00212876" w:rsidRPr="00A413E8">
        <w:t xml:space="preserve">. </w:t>
      </w:r>
      <w:hyperlink r:id="rId29" w:history="1">
        <w:r w:rsidR="00212876" w:rsidRPr="00A413E8">
          <w:rPr>
            <w:rStyle w:val="Hyperlink"/>
            <w:color w:val="auto"/>
          </w:rPr>
          <w:t>https://doi.org/10.1016/j.rse.2019.111629</w:t>
        </w:r>
      </w:hyperlink>
      <w:r w:rsidR="00212876" w:rsidRPr="00A413E8">
        <w:t>.</w:t>
      </w:r>
    </w:p>
    <w:p w14:paraId="56227AC1" w14:textId="38597DE7" w:rsidR="00212876" w:rsidRPr="00A413E8" w:rsidRDefault="00994807" w:rsidP="00A413E8">
      <w:pPr>
        <w:pStyle w:val="Reference"/>
      </w:pPr>
      <w:r w:rsidRPr="00A413E8">
        <w:t xml:space="preserve">Lin, Yaling and </w:t>
      </w:r>
      <w:proofErr w:type="spellStart"/>
      <w:r w:rsidRPr="00A413E8">
        <w:t>Shunqiao</w:t>
      </w:r>
      <w:proofErr w:type="spellEnd"/>
      <w:r w:rsidRPr="00A413E8">
        <w:t xml:space="preserve"> Song. </w:t>
      </w:r>
      <w:r w:rsidR="00FF1A42" w:rsidRPr="00A413E8">
        <w:t>2026. Monitoring surface water in floodplains by satellites: Progress, challenges, and perspectives. Journal of Hydrology</w:t>
      </w:r>
      <w:r w:rsidR="001D2244" w:rsidRPr="00A413E8">
        <w:t xml:space="preserve">, 664 B, January 2026 134458. </w:t>
      </w:r>
      <w:hyperlink r:id="rId30">
        <w:r w:rsidR="00FA29F9" w:rsidRPr="00A413E8">
          <w:rPr>
            <w:rStyle w:val="Hyperlink"/>
            <w:color w:val="auto"/>
          </w:rPr>
          <w:t>https://doi.org/10.1016/j.jhydrol.2025.134458</w:t>
        </w:r>
      </w:hyperlink>
      <w:r w:rsidR="00FA29F9" w:rsidRPr="00A413E8">
        <w:t>.</w:t>
      </w:r>
    </w:p>
    <w:p w14:paraId="034EB4B1" w14:textId="5230C9D8" w:rsidR="00FA29F9" w:rsidRPr="0074541E" w:rsidRDefault="7A06AC13" w:rsidP="00A413E8">
      <w:pPr>
        <w:pStyle w:val="Reference"/>
      </w:pPr>
      <w:r w:rsidRPr="00A413E8">
        <w:t>Earle, P. S., Wald, D. J., Jaiswal, K., Allen, T. I., Hearne, M. G., Marano, K., Hotovec, A. J., and Fee, J. (2009). Prompt Assessment of Global Earthquakes for Response (PAGER): A system for rapidly determining the impact of earthquakes worldwide. U.S. Geological Survey Open-</w:t>
      </w:r>
      <w:r w:rsidRPr="0074541E">
        <w:t xml:space="preserve">File Report 20091131, iii + 15 pp. </w:t>
      </w:r>
      <w:hyperlink r:id="rId31" w:history="1">
        <w:r w:rsidR="00A413E8" w:rsidRPr="0074541E">
          <w:rPr>
            <w:rStyle w:val="Hyperlink"/>
            <w:color w:val="auto"/>
          </w:rPr>
          <w:t>https://doi.org/10.3133/ofr20091131</w:t>
        </w:r>
      </w:hyperlink>
    </w:p>
    <w:p w14:paraId="2E7E5E2F" w14:textId="61DEE284" w:rsidR="00FA29F9" w:rsidRDefault="00FA29F9" w:rsidP="157DBEEB">
      <w:pPr>
        <w:rPr>
          <w:rFonts w:ascii="Aptos" w:eastAsia="Aptos" w:hAnsi="Aptos" w:cs="Aptos"/>
          <w:color w:val="000000" w:themeColor="text1"/>
        </w:rPr>
      </w:pPr>
    </w:p>
    <w:p w14:paraId="6220FA66" w14:textId="52573F6B" w:rsidR="00FA29F9" w:rsidRDefault="00FA29F9" w:rsidP="00DA6B7A">
      <w:pPr>
        <w:pStyle w:val="Reference"/>
      </w:pPr>
    </w:p>
    <w:p w14:paraId="3BDFDD61" w14:textId="77777777" w:rsidR="009634E6" w:rsidRPr="00272FE1" w:rsidRDefault="009634E6" w:rsidP="00DA6B7A">
      <w:pPr>
        <w:pStyle w:val="Reference"/>
      </w:pPr>
    </w:p>
    <w:sectPr w:rsidR="009634E6" w:rsidRPr="00272FE1" w:rsidSect="003E3FFA">
      <w:footerReference w:type="default" r:id="rId3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9C9F09" w14:textId="77777777" w:rsidR="005A4485" w:rsidRDefault="005A4485" w:rsidP="006E5BF4">
      <w:pPr>
        <w:spacing w:after="0" w:line="240" w:lineRule="auto"/>
      </w:pPr>
      <w:r>
        <w:separator/>
      </w:r>
    </w:p>
    <w:p w14:paraId="748DFDE6" w14:textId="77777777" w:rsidR="005A4485" w:rsidRDefault="005A4485"/>
    <w:p w14:paraId="06525466" w14:textId="77777777" w:rsidR="005A4485" w:rsidRDefault="005A4485"/>
  </w:endnote>
  <w:endnote w:type="continuationSeparator" w:id="0">
    <w:p w14:paraId="05533EFB" w14:textId="77777777" w:rsidR="005A4485" w:rsidRDefault="005A4485" w:rsidP="006E5BF4">
      <w:pPr>
        <w:spacing w:after="0" w:line="240" w:lineRule="auto"/>
      </w:pPr>
      <w:r>
        <w:continuationSeparator/>
      </w:r>
    </w:p>
    <w:p w14:paraId="65A3D1B6" w14:textId="77777777" w:rsidR="005A4485" w:rsidRDefault="005A4485"/>
    <w:p w14:paraId="58B12B9A" w14:textId="77777777" w:rsidR="005A4485" w:rsidRDefault="005A4485"/>
  </w:endnote>
  <w:endnote w:type="continuationNotice" w:id="1">
    <w:p w14:paraId="51B2C785" w14:textId="77777777" w:rsidR="005A4485" w:rsidRDefault="005A448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 w:name="MS Mincho">
    <w:panose1 w:val="02020609040205080304"/>
    <w:charset w:val="80"/>
    <w:family w:val="modern"/>
    <w:pitch w:val="fixed"/>
    <w:sig w:usb0="E00002FF" w:usb1="6AC7FDFB" w:usb2="08000012" w:usb3="00000000" w:csb0="0002009F" w:csb1="00000000"/>
  </w:font>
  <w:font w:name="Univers 57 Condensed">
    <w:panose1 w:val="00000000000000000000"/>
    <w:charset w:val="00"/>
    <w:family w:val="modern"/>
    <w:notTrueType/>
    <w:pitch w:val="variable"/>
    <w:sig w:usb0="A000002F" w:usb1="4000004A" w:usb2="00000000" w:usb3="00000000" w:csb0="00000111"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96222933"/>
      <w:docPartObj>
        <w:docPartGallery w:val="Page Numbers (Bottom of Page)"/>
        <w:docPartUnique/>
      </w:docPartObj>
    </w:sdtPr>
    <w:sdtEndPr>
      <w:rPr>
        <w:noProof/>
      </w:rPr>
    </w:sdtEndPr>
    <w:sdtContent>
      <w:p w14:paraId="789A5936" w14:textId="77777777" w:rsidR="00B5798F" w:rsidRDefault="00B5798F">
        <w:pPr>
          <w:pStyle w:val="Footer"/>
          <w:jc w:val="center"/>
        </w:pPr>
        <w:r>
          <w:rPr>
            <w:color w:val="2B579A"/>
            <w:shd w:val="clear" w:color="auto" w:fill="E6E6E6"/>
          </w:rPr>
          <w:fldChar w:fldCharType="begin"/>
        </w:r>
        <w:r>
          <w:instrText xml:space="preserve"> PAGE   \* MERGEFORMAT </w:instrText>
        </w:r>
        <w:r>
          <w:rPr>
            <w:color w:val="2B579A"/>
            <w:shd w:val="clear" w:color="auto" w:fill="E6E6E6"/>
          </w:rPr>
          <w:fldChar w:fldCharType="separate"/>
        </w:r>
        <w:r>
          <w:rPr>
            <w:noProof/>
          </w:rPr>
          <w:t>2</w:t>
        </w:r>
        <w:r>
          <w:rPr>
            <w:noProof/>
            <w:color w:val="2B579A"/>
            <w:shd w:val="clear" w:color="auto" w:fill="E6E6E6"/>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CFD8B7" w14:textId="77777777" w:rsidR="005A4485" w:rsidRDefault="005A4485" w:rsidP="00B41E6F">
      <w:pPr>
        <w:spacing w:after="0" w:line="240" w:lineRule="auto"/>
      </w:pPr>
      <w:r>
        <w:separator/>
      </w:r>
    </w:p>
  </w:footnote>
  <w:footnote w:type="continuationSeparator" w:id="0">
    <w:p w14:paraId="7FD809A9" w14:textId="77777777" w:rsidR="005A4485" w:rsidRDefault="005A4485" w:rsidP="006E5BF4">
      <w:pPr>
        <w:spacing w:after="0" w:line="240" w:lineRule="auto"/>
      </w:pPr>
      <w:r>
        <w:continuationSeparator/>
      </w:r>
    </w:p>
    <w:p w14:paraId="1DF7A14A" w14:textId="77777777" w:rsidR="005A4485" w:rsidRDefault="005A4485"/>
    <w:p w14:paraId="3FF36854" w14:textId="77777777" w:rsidR="005A4485" w:rsidRDefault="005A4485"/>
  </w:footnote>
  <w:footnote w:type="continuationNotice" w:id="1">
    <w:p w14:paraId="3A308000" w14:textId="77777777" w:rsidR="005A4485" w:rsidRDefault="005A4485">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8320FF"/>
    <w:multiLevelType w:val="hybridMultilevel"/>
    <w:tmpl w:val="FFFFFFFF"/>
    <w:lvl w:ilvl="0" w:tplc="F2A2CD7A">
      <w:start w:val="1"/>
      <w:numFmt w:val="decimal"/>
      <w:lvlText w:val="•"/>
      <w:lvlJc w:val="left"/>
      <w:pPr>
        <w:ind w:left="720" w:hanging="360"/>
      </w:pPr>
    </w:lvl>
    <w:lvl w:ilvl="1" w:tplc="80DCEA3A">
      <w:start w:val="1"/>
      <w:numFmt w:val="lowerLetter"/>
      <w:lvlText w:val="%2."/>
      <w:lvlJc w:val="left"/>
      <w:pPr>
        <w:ind w:left="1440" w:hanging="360"/>
      </w:pPr>
    </w:lvl>
    <w:lvl w:ilvl="2" w:tplc="5FFE198A">
      <w:start w:val="1"/>
      <w:numFmt w:val="lowerRoman"/>
      <w:lvlText w:val="%3."/>
      <w:lvlJc w:val="right"/>
      <w:pPr>
        <w:ind w:left="2160" w:hanging="180"/>
      </w:pPr>
    </w:lvl>
    <w:lvl w:ilvl="3" w:tplc="3E0CCBBA">
      <w:start w:val="1"/>
      <w:numFmt w:val="decimal"/>
      <w:lvlText w:val="%4."/>
      <w:lvlJc w:val="left"/>
      <w:pPr>
        <w:ind w:left="2880" w:hanging="360"/>
      </w:pPr>
    </w:lvl>
    <w:lvl w:ilvl="4" w:tplc="40AEA532">
      <w:start w:val="1"/>
      <w:numFmt w:val="lowerLetter"/>
      <w:lvlText w:val="%5."/>
      <w:lvlJc w:val="left"/>
      <w:pPr>
        <w:ind w:left="3600" w:hanging="360"/>
      </w:pPr>
    </w:lvl>
    <w:lvl w:ilvl="5" w:tplc="DCE835B2">
      <w:start w:val="1"/>
      <w:numFmt w:val="lowerRoman"/>
      <w:lvlText w:val="%6."/>
      <w:lvlJc w:val="right"/>
      <w:pPr>
        <w:ind w:left="4320" w:hanging="180"/>
      </w:pPr>
    </w:lvl>
    <w:lvl w:ilvl="6" w:tplc="56C89F78">
      <w:start w:val="1"/>
      <w:numFmt w:val="decimal"/>
      <w:lvlText w:val="%7."/>
      <w:lvlJc w:val="left"/>
      <w:pPr>
        <w:ind w:left="5040" w:hanging="360"/>
      </w:pPr>
    </w:lvl>
    <w:lvl w:ilvl="7" w:tplc="2C22750A">
      <w:start w:val="1"/>
      <w:numFmt w:val="lowerLetter"/>
      <w:lvlText w:val="%8."/>
      <w:lvlJc w:val="left"/>
      <w:pPr>
        <w:ind w:left="5760" w:hanging="360"/>
      </w:pPr>
    </w:lvl>
    <w:lvl w:ilvl="8" w:tplc="6FA81A64">
      <w:start w:val="1"/>
      <w:numFmt w:val="lowerRoman"/>
      <w:lvlText w:val="%9."/>
      <w:lvlJc w:val="right"/>
      <w:pPr>
        <w:ind w:left="6480" w:hanging="180"/>
      </w:pPr>
    </w:lvl>
  </w:abstractNum>
  <w:abstractNum w:abstractNumId="1" w15:restartNumberingAfterBreak="0">
    <w:nsid w:val="13F85995"/>
    <w:multiLevelType w:val="hybridMultilevel"/>
    <w:tmpl w:val="73CCCC2E"/>
    <w:lvl w:ilvl="0" w:tplc="953A50C8">
      <w:start w:val="1"/>
      <w:numFmt w:val="decimal"/>
      <w:lvlText w:val="%1."/>
      <w:lvlJc w:val="left"/>
      <w:pPr>
        <w:ind w:left="720" w:hanging="360"/>
      </w:pPr>
    </w:lvl>
    <w:lvl w:ilvl="1" w:tplc="6AF24FE4">
      <w:start w:val="1"/>
      <w:numFmt w:val="lowerLetter"/>
      <w:lvlText w:val="%2."/>
      <w:lvlJc w:val="left"/>
      <w:pPr>
        <w:ind w:left="1440" w:hanging="360"/>
      </w:pPr>
    </w:lvl>
    <w:lvl w:ilvl="2" w:tplc="3A043596">
      <w:start w:val="1"/>
      <w:numFmt w:val="lowerRoman"/>
      <w:lvlText w:val="%3."/>
      <w:lvlJc w:val="right"/>
      <w:pPr>
        <w:ind w:left="2160" w:hanging="180"/>
      </w:pPr>
    </w:lvl>
    <w:lvl w:ilvl="3" w:tplc="046AC6D2">
      <w:start w:val="1"/>
      <w:numFmt w:val="decimal"/>
      <w:lvlText w:val="%4."/>
      <w:lvlJc w:val="left"/>
      <w:pPr>
        <w:ind w:left="2880" w:hanging="360"/>
      </w:pPr>
    </w:lvl>
    <w:lvl w:ilvl="4" w:tplc="DFF0BC76">
      <w:start w:val="1"/>
      <w:numFmt w:val="lowerLetter"/>
      <w:lvlText w:val="%5."/>
      <w:lvlJc w:val="left"/>
      <w:pPr>
        <w:ind w:left="3600" w:hanging="360"/>
      </w:pPr>
    </w:lvl>
    <w:lvl w:ilvl="5" w:tplc="71B6CA54">
      <w:start w:val="1"/>
      <w:numFmt w:val="lowerRoman"/>
      <w:lvlText w:val="%6."/>
      <w:lvlJc w:val="right"/>
      <w:pPr>
        <w:ind w:left="4320" w:hanging="180"/>
      </w:pPr>
    </w:lvl>
    <w:lvl w:ilvl="6" w:tplc="6DE6AFB2">
      <w:start w:val="1"/>
      <w:numFmt w:val="decimal"/>
      <w:lvlText w:val="%7."/>
      <w:lvlJc w:val="left"/>
      <w:pPr>
        <w:ind w:left="5040" w:hanging="360"/>
      </w:pPr>
    </w:lvl>
    <w:lvl w:ilvl="7" w:tplc="E410E2F4">
      <w:start w:val="1"/>
      <w:numFmt w:val="lowerLetter"/>
      <w:lvlText w:val="%8."/>
      <w:lvlJc w:val="left"/>
      <w:pPr>
        <w:ind w:left="5760" w:hanging="360"/>
      </w:pPr>
    </w:lvl>
    <w:lvl w:ilvl="8" w:tplc="278EEAFE">
      <w:start w:val="1"/>
      <w:numFmt w:val="lowerRoman"/>
      <w:lvlText w:val="%9."/>
      <w:lvlJc w:val="right"/>
      <w:pPr>
        <w:ind w:left="6480" w:hanging="180"/>
      </w:pPr>
    </w:lvl>
  </w:abstractNum>
  <w:abstractNum w:abstractNumId="2" w15:restartNumberingAfterBreak="0">
    <w:nsid w:val="18B69BB8"/>
    <w:multiLevelType w:val="hybridMultilevel"/>
    <w:tmpl w:val="29C48744"/>
    <w:lvl w:ilvl="0" w:tplc="DDBC3250">
      <w:start w:val="1"/>
      <w:numFmt w:val="lowerLetter"/>
      <w:lvlText w:val="%1)"/>
      <w:lvlJc w:val="left"/>
      <w:pPr>
        <w:ind w:left="720" w:hanging="360"/>
      </w:pPr>
    </w:lvl>
    <w:lvl w:ilvl="1" w:tplc="89784F2C">
      <w:start w:val="1"/>
      <w:numFmt w:val="lowerLetter"/>
      <w:lvlText w:val="%2."/>
      <w:lvlJc w:val="left"/>
      <w:pPr>
        <w:ind w:left="1440" w:hanging="360"/>
      </w:pPr>
    </w:lvl>
    <w:lvl w:ilvl="2" w:tplc="BADAD65C">
      <w:start w:val="1"/>
      <w:numFmt w:val="lowerRoman"/>
      <w:lvlText w:val="%3."/>
      <w:lvlJc w:val="right"/>
      <w:pPr>
        <w:ind w:left="2160" w:hanging="180"/>
      </w:pPr>
    </w:lvl>
    <w:lvl w:ilvl="3" w:tplc="2702C090">
      <w:start w:val="1"/>
      <w:numFmt w:val="decimal"/>
      <w:lvlText w:val="%4."/>
      <w:lvlJc w:val="left"/>
      <w:pPr>
        <w:ind w:left="2880" w:hanging="360"/>
      </w:pPr>
    </w:lvl>
    <w:lvl w:ilvl="4" w:tplc="018CA0D6">
      <w:start w:val="1"/>
      <w:numFmt w:val="lowerLetter"/>
      <w:lvlText w:val="%5."/>
      <w:lvlJc w:val="left"/>
      <w:pPr>
        <w:ind w:left="3600" w:hanging="360"/>
      </w:pPr>
    </w:lvl>
    <w:lvl w:ilvl="5" w:tplc="D0388B1E">
      <w:start w:val="1"/>
      <w:numFmt w:val="lowerRoman"/>
      <w:lvlText w:val="%6."/>
      <w:lvlJc w:val="right"/>
      <w:pPr>
        <w:ind w:left="4320" w:hanging="180"/>
      </w:pPr>
    </w:lvl>
    <w:lvl w:ilvl="6" w:tplc="722CA16C">
      <w:start w:val="1"/>
      <w:numFmt w:val="decimal"/>
      <w:lvlText w:val="%7."/>
      <w:lvlJc w:val="left"/>
      <w:pPr>
        <w:ind w:left="5040" w:hanging="360"/>
      </w:pPr>
    </w:lvl>
    <w:lvl w:ilvl="7" w:tplc="57222430">
      <w:start w:val="1"/>
      <w:numFmt w:val="lowerLetter"/>
      <w:lvlText w:val="%8."/>
      <w:lvlJc w:val="left"/>
      <w:pPr>
        <w:ind w:left="5760" w:hanging="360"/>
      </w:pPr>
    </w:lvl>
    <w:lvl w:ilvl="8" w:tplc="87EE58FA">
      <w:start w:val="1"/>
      <w:numFmt w:val="lowerRoman"/>
      <w:lvlText w:val="%9."/>
      <w:lvlJc w:val="right"/>
      <w:pPr>
        <w:ind w:left="6480" w:hanging="180"/>
      </w:pPr>
    </w:lvl>
  </w:abstractNum>
  <w:abstractNum w:abstractNumId="3" w15:restartNumberingAfterBreak="0">
    <w:nsid w:val="40607B18"/>
    <w:multiLevelType w:val="hybridMultilevel"/>
    <w:tmpl w:val="FFFFFFFF"/>
    <w:lvl w:ilvl="0" w:tplc="9398987A">
      <w:start w:val="1"/>
      <w:numFmt w:val="decimal"/>
      <w:lvlText w:val="•"/>
      <w:lvlJc w:val="left"/>
      <w:pPr>
        <w:ind w:left="720" w:hanging="360"/>
      </w:pPr>
    </w:lvl>
    <w:lvl w:ilvl="1" w:tplc="09484F2A">
      <w:start w:val="1"/>
      <w:numFmt w:val="lowerLetter"/>
      <w:lvlText w:val="%2."/>
      <w:lvlJc w:val="left"/>
      <w:pPr>
        <w:ind w:left="1440" w:hanging="360"/>
      </w:pPr>
    </w:lvl>
    <w:lvl w:ilvl="2" w:tplc="6CA4384A">
      <w:start w:val="1"/>
      <w:numFmt w:val="lowerRoman"/>
      <w:lvlText w:val="%3."/>
      <w:lvlJc w:val="right"/>
      <w:pPr>
        <w:ind w:left="2160" w:hanging="180"/>
      </w:pPr>
    </w:lvl>
    <w:lvl w:ilvl="3" w:tplc="C3FAFA48">
      <w:start w:val="1"/>
      <w:numFmt w:val="decimal"/>
      <w:lvlText w:val="%4."/>
      <w:lvlJc w:val="left"/>
      <w:pPr>
        <w:ind w:left="2880" w:hanging="360"/>
      </w:pPr>
    </w:lvl>
    <w:lvl w:ilvl="4" w:tplc="52E48BFA">
      <w:start w:val="1"/>
      <w:numFmt w:val="lowerLetter"/>
      <w:lvlText w:val="%5."/>
      <w:lvlJc w:val="left"/>
      <w:pPr>
        <w:ind w:left="3600" w:hanging="360"/>
      </w:pPr>
    </w:lvl>
    <w:lvl w:ilvl="5" w:tplc="98A2F66C">
      <w:start w:val="1"/>
      <w:numFmt w:val="lowerRoman"/>
      <w:lvlText w:val="%6."/>
      <w:lvlJc w:val="right"/>
      <w:pPr>
        <w:ind w:left="4320" w:hanging="180"/>
      </w:pPr>
    </w:lvl>
    <w:lvl w:ilvl="6" w:tplc="397E0F2A">
      <w:start w:val="1"/>
      <w:numFmt w:val="decimal"/>
      <w:lvlText w:val="%7."/>
      <w:lvlJc w:val="left"/>
      <w:pPr>
        <w:ind w:left="5040" w:hanging="360"/>
      </w:pPr>
    </w:lvl>
    <w:lvl w:ilvl="7" w:tplc="1E0C3D36">
      <w:start w:val="1"/>
      <w:numFmt w:val="lowerLetter"/>
      <w:lvlText w:val="%8."/>
      <w:lvlJc w:val="left"/>
      <w:pPr>
        <w:ind w:left="5760" w:hanging="360"/>
      </w:pPr>
    </w:lvl>
    <w:lvl w:ilvl="8" w:tplc="BD505CDC">
      <w:start w:val="1"/>
      <w:numFmt w:val="lowerRoman"/>
      <w:lvlText w:val="%9."/>
      <w:lvlJc w:val="right"/>
      <w:pPr>
        <w:ind w:left="6480" w:hanging="180"/>
      </w:pPr>
    </w:lvl>
  </w:abstractNum>
  <w:abstractNum w:abstractNumId="4" w15:restartNumberingAfterBreak="0">
    <w:nsid w:val="42805FB1"/>
    <w:multiLevelType w:val="hybridMultilevel"/>
    <w:tmpl w:val="585C3396"/>
    <w:lvl w:ilvl="0" w:tplc="68D2A17A">
      <w:start w:val="1"/>
      <w:numFmt w:val="lowerLetter"/>
      <w:lvlText w:val="%1)"/>
      <w:lvlJc w:val="left"/>
      <w:pPr>
        <w:ind w:left="1080" w:hanging="360"/>
      </w:pPr>
      <w:rPr>
        <w:rFonts w:hint="default"/>
        <w:color w:val="00000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4CA8C357"/>
    <w:multiLevelType w:val="hybridMultilevel"/>
    <w:tmpl w:val="75CC8D18"/>
    <w:lvl w:ilvl="0" w:tplc="5D561D18">
      <w:start w:val="1"/>
      <w:numFmt w:val="decimal"/>
      <w:lvlText w:val="•"/>
      <w:lvlJc w:val="left"/>
      <w:pPr>
        <w:ind w:left="720" w:hanging="360"/>
      </w:pPr>
    </w:lvl>
    <w:lvl w:ilvl="1" w:tplc="7826EB5C">
      <w:start w:val="1"/>
      <w:numFmt w:val="lowerLetter"/>
      <w:lvlText w:val="%2."/>
      <w:lvlJc w:val="left"/>
      <w:pPr>
        <w:ind w:left="1440" w:hanging="360"/>
      </w:pPr>
    </w:lvl>
    <w:lvl w:ilvl="2" w:tplc="DD40704C">
      <w:start w:val="1"/>
      <w:numFmt w:val="lowerRoman"/>
      <w:lvlText w:val="%3."/>
      <w:lvlJc w:val="right"/>
      <w:pPr>
        <w:ind w:left="2160" w:hanging="180"/>
      </w:pPr>
    </w:lvl>
    <w:lvl w:ilvl="3" w:tplc="7750A41C">
      <w:start w:val="1"/>
      <w:numFmt w:val="decimal"/>
      <w:lvlText w:val="%4."/>
      <w:lvlJc w:val="left"/>
      <w:pPr>
        <w:ind w:left="2880" w:hanging="360"/>
      </w:pPr>
    </w:lvl>
    <w:lvl w:ilvl="4" w:tplc="36EEC530">
      <w:start w:val="1"/>
      <w:numFmt w:val="lowerLetter"/>
      <w:lvlText w:val="%5."/>
      <w:lvlJc w:val="left"/>
      <w:pPr>
        <w:ind w:left="3600" w:hanging="360"/>
      </w:pPr>
    </w:lvl>
    <w:lvl w:ilvl="5" w:tplc="4558D7E8">
      <w:start w:val="1"/>
      <w:numFmt w:val="lowerRoman"/>
      <w:lvlText w:val="%6."/>
      <w:lvlJc w:val="right"/>
      <w:pPr>
        <w:ind w:left="4320" w:hanging="180"/>
      </w:pPr>
    </w:lvl>
    <w:lvl w:ilvl="6" w:tplc="95D6C002">
      <w:start w:val="1"/>
      <w:numFmt w:val="decimal"/>
      <w:lvlText w:val="%7."/>
      <w:lvlJc w:val="left"/>
      <w:pPr>
        <w:ind w:left="5040" w:hanging="360"/>
      </w:pPr>
    </w:lvl>
    <w:lvl w:ilvl="7" w:tplc="963C2954">
      <w:start w:val="1"/>
      <w:numFmt w:val="lowerLetter"/>
      <w:lvlText w:val="%8."/>
      <w:lvlJc w:val="left"/>
      <w:pPr>
        <w:ind w:left="5760" w:hanging="360"/>
      </w:pPr>
    </w:lvl>
    <w:lvl w:ilvl="8" w:tplc="DDBC37C8">
      <w:start w:val="1"/>
      <w:numFmt w:val="lowerRoman"/>
      <w:lvlText w:val="%9."/>
      <w:lvlJc w:val="right"/>
      <w:pPr>
        <w:ind w:left="6480" w:hanging="180"/>
      </w:pPr>
    </w:lvl>
  </w:abstractNum>
  <w:abstractNum w:abstractNumId="6" w15:restartNumberingAfterBreak="0">
    <w:nsid w:val="4D71C494"/>
    <w:multiLevelType w:val="hybridMultilevel"/>
    <w:tmpl w:val="981E51CE"/>
    <w:lvl w:ilvl="0" w:tplc="CE16CBB8">
      <w:start w:val="1"/>
      <w:numFmt w:val="decimal"/>
      <w:lvlText w:val="•"/>
      <w:lvlJc w:val="left"/>
      <w:pPr>
        <w:ind w:left="720" w:hanging="360"/>
      </w:pPr>
    </w:lvl>
    <w:lvl w:ilvl="1" w:tplc="D38ADC4A">
      <w:start w:val="1"/>
      <w:numFmt w:val="lowerLetter"/>
      <w:lvlText w:val="%2."/>
      <w:lvlJc w:val="left"/>
      <w:pPr>
        <w:ind w:left="1440" w:hanging="360"/>
      </w:pPr>
    </w:lvl>
    <w:lvl w:ilvl="2" w:tplc="8A347FC4">
      <w:start w:val="1"/>
      <w:numFmt w:val="lowerRoman"/>
      <w:lvlText w:val="%3."/>
      <w:lvlJc w:val="right"/>
      <w:pPr>
        <w:ind w:left="2160" w:hanging="180"/>
      </w:pPr>
    </w:lvl>
    <w:lvl w:ilvl="3" w:tplc="F7E22E32">
      <w:start w:val="1"/>
      <w:numFmt w:val="decimal"/>
      <w:lvlText w:val="%4."/>
      <w:lvlJc w:val="left"/>
      <w:pPr>
        <w:ind w:left="2880" w:hanging="360"/>
      </w:pPr>
    </w:lvl>
    <w:lvl w:ilvl="4" w:tplc="79B0CF3E">
      <w:start w:val="1"/>
      <w:numFmt w:val="lowerLetter"/>
      <w:lvlText w:val="%5."/>
      <w:lvlJc w:val="left"/>
      <w:pPr>
        <w:ind w:left="3600" w:hanging="360"/>
      </w:pPr>
    </w:lvl>
    <w:lvl w:ilvl="5" w:tplc="23EC5FBE">
      <w:start w:val="1"/>
      <w:numFmt w:val="lowerRoman"/>
      <w:lvlText w:val="%6."/>
      <w:lvlJc w:val="right"/>
      <w:pPr>
        <w:ind w:left="4320" w:hanging="180"/>
      </w:pPr>
    </w:lvl>
    <w:lvl w:ilvl="6" w:tplc="79EA9136">
      <w:start w:val="1"/>
      <w:numFmt w:val="decimal"/>
      <w:lvlText w:val="%7."/>
      <w:lvlJc w:val="left"/>
      <w:pPr>
        <w:ind w:left="5040" w:hanging="360"/>
      </w:pPr>
    </w:lvl>
    <w:lvl w:ilvl="7" w:tplc="6FE41A58">
      <w:start w:val="1"/>
      <w:numFmt w:val="lowerLetter"/>
      <w:lvlText w:val="%8."/>
      <w:lvlJc w:val="left"/>
      <w:pPr>
        <w:ind w:left="5760" w:hanging="360"/>
      </w:pPr>
    </w:lvl>
    <w:lvl w:ilvl="8" w:tplc="04A81D1E">
      <w:start w:val="1"/>
      <w:numFmt w:val="lowerRoman"/>
      <w:lvlText w:val="%9."/>
      <w:lvlJc w:val="right"/>
      <w:pPr>
        <w:ind w:left="6480" w:hanging="180"/>
      </w:pPr>
    </w:lvl>
  </w:abstractNum>
  <w:abstractNum w:abstractNumId="7" w15:restartNumberingAfterBreak="0">
    <w:nsid w:val="5C5913FD"/>
    <w:multiLevelType w:val="hybridMultilevel"/>
    <w:tmpl w:val="E4C04D16"/>
    <w:lvl w:ilvl="0" w:tplc="1CF8CF80">
      <w:start w:val="1"/>
      <w:numFmt w:val="bullet"/>
      <w:pStyle w:val="DMUBulletedItem"/>
      <w:lvlText w:val=""/>
      <w:lvlJc w:val="left"/>
      <w:pPr>
        <w:ind w:left="3240" w:hanging="360"/>
      </w:pPr>
      <w:rPr>
        <w:rFonts w:ascii="Symbol" w:hAnsi="Symbol" w:hint="default"/>
      </w:rPr>
    </w:lvl>
    <w:lvl w:ilvl="1" w:tplc="04090003" w:tentative="1">
      <w:start w:val="1"/>
      <w:numFmt w:val="bullet"/>
      <w:lvlText w:val="o"/>
      <w:lvlJc w:val="left"/>
      <w:pPr>
        <w:ind w:left="3960" w:hanging="360"/>
      </w:pPr>
      <w:rPr>
        <w:rFonts w:ascii="Courier New" w:hAnsi="Courier New" w:cs="Courier New" w:hint="default"/>
      </w:rPr>
    </w:lvl>
    <w:lvl w:ilvl="2" w:tplc="04090005" w:tentative="1">
      <w:start w:val="1"/>
      <w:numFmt w:val="bullet"/>
      <w:lvlText w:val=""/>
      <w:lvlJc w:val="left"/>
      <w:pPr>
        <w:ind w:left="4680" w:hanging="360"/>
      </w:pPr>
      <w:rPr>
        <w:rFonts w:ascii="Wingdings" w:hAnsi="Wingdings" w:hint="default"/>
      </w:rPr>
    </w:lvl>
    <w:lvl w:ilvl="3" w:tplc="04090001" w:tentative="1">
      <w:start w:val="1"/>
      <w:numFmt w:val="bullet"/>
      <w:lvlText w:val=""/>
      <w:lvlJc w:val="left"/>
      <w:pPr>
        <w:ind w:left="5400" w:hanging="360"/>
      </w:pPr>
      <w:rPr>
        <w:rFonts w:ascii="Symbol" w:hAnsi="Symbol" w:hint="default"/>
      </w:rPr>
    </w:lvl>
    <w:lvl w:ilvl="4" w:tplc="04090003" w:tentative="1">
      <w:start w:val="1"/>
      <w:numFmt w:val="bullet"/>
      <w:lvlText w:val="o"/>
      <w:lvlJc w:val="left"/>
      <w:pPr>
        <w:ind w:left="6120" w:hanging="360"/>
      </w:pPr>
      <w:rPr>
        <w:rFonts w:ascii="Courier New" w:hAnsi="Courier New" w:cs="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cs="Courier New" w:hint="default"/>
      </w:rPr>
    </w:lvl>
    <w:lvl w:ilvl="8" w:tplc="04090005" w:tentative="1">
      <w:start w:val="1"/>
      <w:numFmt w:val="bullet"/>
      <w:lvlText w:val=""/>
      <w:lvlJc w:val="left"/>
      <w:pPr>
        <w:ind w:left="9000" w:hanging="360"/>
      </w:pPr>
      <w:rPr>
        <w:rFonts w:ascii="Wingdings" w:hAnsi="Wingdings" w:hint="default"/>
      </w:rPr>
    </w:lvl>
  </w:abstractNum>
  <w:abstractNum w:abstractNumId="8" w15:restartNumberingAfterBreak="0">
    <w:nsid w:val="61B780F8"/>
    <w:multiLevelType w:val="hybridMultilevel"/>
    <w:tmpl w:val="FFFFFFFF"/>
    <w:lvl w:ilvl="0" w:tplc="630882C0">
      <w:start w:val="1"/>
      <w:numFmt w:val="upperLetter"/>
      <w:lvlText w:val="%1)"/>
      <w:lvlJc w:val="left"/>
      <w:pPr>
        <w:ind w:left="360" w:hanging="360"/>
      </w:pPr>
    </w:lvl>
    <w:lvl w:ilvl="1" w:tplc="6FB633B8">
      <w:start w:val="1"/>
      <w:numFmt w:val="lowerLetter"/>
      <w:lvlText w:val="%2."/>
      <w:lvlJc w:val="left"/>
      <w:pPr>
        <w:ind w:left="1080" w:hanging="360"/>
      </w:pPr>
    </w:lvl>
    <w:lvl w:ilvl="2" w:tplc="89EA740E">
      <w:start w:val="1"/>
      <w:numFmt w:val="lowerRoman"/>
      <w:lvlText w:val="%3."/>
      <w:lvlJc w:val="right"/>
      <w:pPr>
        <w:ind w:left="1800" w:hanging="180"/>
      </w:pPr>
    </w:lvl>
    <w:lvl w:ilvl="3" w:tplc="D42C23AA">
      <w:start w:val="1"/>
      <w:numFmt w:val="decimal"/>
      <w:lvlText w:val="%4."/>
      <w:lvlJc w:val="left"/>
      <w:pPr>
        <w:ind w:left="2520" w:hanging="360"/>
      </w:pPr>
    </w:lvl>
    <w:lvl w:ilvl="4" w:tplc="ABA8CCB4">
      <w:start w:val="1"/>
      <w:numFmt w:val="lowerLetter"/>
      <w:lvlText w:val="%5."/>
      <w:lvlJc w:val="left"/>
      <w:pPr>
        <w:ind w:left="3240" w:hanging="360"/>
      </w:pPr>
    </w:lvl>
    <w:lvl w:ilvl="5" w:tplc="A7341944">
      <w:start w:val="1"/>
      <w:numFmt w:val="lowerRoman"/>
      <w:lvlText w:val="%6."/>
      <w:lvlJc w:val="right"/>
      <w:pPr>
        <w:ind w:left="3960" w:hanging="180"/>
      </w:pPr>
    </w:lvl>
    <w:lvl w:ilvl="6" w:tplc="BAC22378">
      <w:start w:val="1"/>
      <w:numFmt w:val="decimal"/>
      <w:lvlText w:val="%7."/>
      <w:lvlJc w:val="left"/>
      <w:pPr>
        <w:ind w:left="4680" w:hanging="360"/>
      </w:pPr>
    </w:lvl>
    <w:lvl w:ilvl="7" w:tplc="245E9892">
      <w:start w:val="1"/>
      <w:numFmt w:val="lowerLetter"/>
      <w:lvlText w:val="%8."/>
      <w:lvlJc w:val="left"/>
      <w:pPr>
        <w:ind w:left="5400" w:hanging="360"/>
      </w:pPr>
    </w:lvl>
    <w:lvl w:ilvl="8" w:tplc="8DF0C62C">
      <w:start w:val="1"/>
      <w:numFmt w:val="lowerRoman"/>
      <w:lvlText w:val="%9."/>
      <w:lvlJc w:val="right"/>
      <w:pPr>
        <w:ind w:left="6120" w:hanging="180"/>
      </w:pPr>
    </w:lvl>
  </w:abstractNum>
  <w:abstractNum w:abstractNumId="9" w15:restartNumberingAfterBreak="0">
    <w:nsid w:val="71B9E86A"/>
    <w:multiLevelType w:val="hybridMultilevel"/>
    <w:tmpl w:val="FFFFFFFF"/>
    <w:lvl w:ilvl="0" w:tplc="162C071E">
      <w:start w:val="1"/>
      <w:numFmt w:val="bullet"/>
      <w:lvlText w:val=""/>
      <w:lvlJc w:val="left"/>
      <w:pPr>
        <w:ind w:left="720" w:hanging="360"/>
      </w:pPr>
      <w:rPr>
        <w:rFonts w:ascii="Symbol" w:hAnsi="Symbol" w:hint="default"/>
      </w:rPr>
    </w:lvl>
    <w:lvl w:ilvl="1" w:tplc="4EBCFE42">
      <w:start w:val="1"/>
      <w:numFmt w:val="bullet"/>
      <w:lvlText w:val="o"/>
      <w:lvlJc w:val="left"/>
      <w:pPr>
        <w:ind w:left="1440" w:hanging="360"/>
      </w:pPr>
      <w:rPr>
        <w:rFonts w:ascii="Courier New" w:hAnsi="Courier New" w:hint="default"/>
      </w:rPr>
    </w:lvl>
    <w:lvl w:ilvl="2" w:tplc="E1A6612C">
      <w:start w:val="1"/>
      <w:numFmt w:val="bullet"/>
      <w:lvlText w:val=""/>
      <w:lvlJc w:val="left"/>
      <w:pPr>
        <w:ind w:left="2160" w:hanging="360"/>
      </w:pPr>
      <w:rPr>
        <w:rFonts w:ascii="Wingdings" w:hAnsi="Wingdings" w:hint="default"/>
      </w:rPr>
    </w:lvl>
    <w:lvl w:ilvl="3" w:tplc="2B14F95E">
      <w:start w:val="1"/>
      <w:numFmt w:val="bullet"/>
      <w:lvlText w:val=""/>
      <w:lvlJc w:val="left"/>
      <w:pPr>
        <w:ind w:left="2880" w:hanging="360"/>
      </w:pPr>
      <w:rPr>
        <w:rFonts w:ascii="Symbol" w:hAnsi="Symbol" w:hint="default"/>
      </w:rPr>
    </w:lvl>
    <w:lvl w:ilvl="4" w:tplc="4D9CCA94">
      <w:start w:val="1"/>
      <w:numFmt w:val="bullet"/>
      <w:lvlText w:val="o"/>
      <w:lvlJc w:val="left"/>
      <w:pPr>
        <w:ind w:left="3600" w:hanging="360"/>
      </w:pPr>
      <w:rPr>
        <w:rFonts w:ascii="Courier New" w:hAnsi="Courier New" w:hint="default"/>
      </w:rPr>
    </w:lvl>
    <w:lvl w:ilvl="5" w:tplc="03E27052">
      <w:start w:val="1"/>
      <w:numFmt w:val="bullet"/>
      <w:lvlText w:val=""/>
      <w:lvlJc w:val="left"/>
      <w:pPr>
        <w:ind w:left="4320" w:hanging="360"/>
      </w:pPr>
      <w:rPr>
        <w:rFonts w:ascii="Wingdings" w:hAnsi="Wingdings" w:hint="default"/>
      </w:rPr>
    </w:lvl>
    <w:lvl w:ilvl="6" w:tplc="7B3C327A">
      <w:start w:val="1"/>
      <w:numFmt w:val="bullet"/>
      <w:lvlText w:val=""/>
      <w:lvlJc w:val="left"/>
      <w:pPr>
        <w:ind w:left="5040" w:hanging="360"/>
      </w:pPr>
      <w:rPr>
        <w:rFonts w:ascii="Symbol" w:hAnsi="Symbol" w:hint="default"/>
      </w:rPr>
    </w:lvl>
    <w:lvl w:ilvl="7" w:tplc="F81A9026">
      <w:start w:val="1"/>
      <w:numFmt w:val="bullet"/>
      <w:lvlText w:val="o"/>
      <w:lvlJc w:val="left"/>
      <w:pPr>
        <w:ind w:left="5760" w:hanging="360"/>
      </w:pPr>
      <w:rPr>
        <w:rFonts w:ascii="Courier New" w:hAnsi="Courier New" w:hint="default"/>
      </w:rPr>
    </w:lvl>
    <w:lvl w:ilvl="8" w:tplc="66343364">
      <w:start w:val="1"/>
      <w:numFmt w:val="bullet"/>
      <w:lvlText w:val=""/>
      <w:lvlJc w:val="left"/>
      <w:pPr>
        <w:ind w:left="6480" w:hanging="360"/>
      </w:pPr>
      <w:rPr>
        <w:rFonts w:ascii="Wingdings" w:hAnsi="Wingdings" w:hint="default"/>
      </w:rPr>
    </w:lvl>
  </w:abstractNum>
  <w:num w:numId="1" w16cid:durableId="1569875726">
    <w:abstractNumId w:val="6"/>
  </w:num>
  <w:num w:numId="2" w16cid:durableId="1300769621">
    <w:abstractNumId w:val="5"/>
  </w:num>
  <w:num w:numId="3" w16cid:durableId="377973170">
    <w:abstractNumId w:val="2"/>
  </w:num>
  <w:num w:numId="4" w16cid:durableId="1042169431">
    <w:abstractNumId w:val="1"/>
  </w:num>
  <w:num w:numId="5" w16cid:durableId="145364658">
    <w:abstractNumId w:val="7"/>
  </w:num>
  <w:num w:numId="6" w16cid:durableId="728647348">
    <w:abstractNumId w:val="4"/>
  </w:num>
  <w:num w:numId="7" w16cid:durableId="749237227">
    <w:abstractNumId w:val="0"/>
  </w:num>
  <w:num w:numId="8" w16cid:durableId="673142382">
    <w:abstractNumId w:val="9"/>
  </w:num>
  <w:num w:numId="9" w16cid:durableId="2050835651">
    <w:abstractNumId w:val="3"/>
  </w:num>
  <w:num w:numId="10" w16cid:durableId="421069520">
    <w:abstractNumId w:val="8"/>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proofState w:spelling="clean" w:grammar="clean"/>
  <w:attachedTemplate r:id="rId1"/>
  <w:stylePaneFormatFilter w:val="1221" w:allStyles="1" w:customStyles="0" w:latentStyles="0" w:stylesInUse="0" w:headingStyles="1" w:numberingStyles="0" w:tableStyles="0" w:directFormattingOnRuns="0" w:directFormattingOnParagraphs="1" w:directFormattingOnNumbering="0" w:directFormattingOnTables="0" w:clearFormatting="1" w:top3HeadingStyles="0" w:visibleStyles="0" w:alternateStyleNames="0"/>
  <w:stylePaneSortMethod w:val="0000"/>
  <w:styleLockTheme/>
  <w:styleLockQFSet/>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A110F"/>
    <w:rsid w:val="00000049"/>
    <w:rsid w:val="00000A5A"/>
    <w:rsid w:val="00002C0A"/>
    <w:rsid w:val="00002CA0"/>
    <w:rsid w:val="00004621"/>
    <w:rsid w:val="00005159"/>
    <w:rsid w:val="000058E0"/>
    <w:rsid w:val="0000625E"/>
    <w:rsid w:val="000076ED"/>
    <w:rsid w:val="00012A2F"/>
    <w:rsid w:val="00012CAB"/>
    <w:rsid w:val="00015131"/>
    <w:rsid w:val="0001558C"/>
    <w:rsid w:val="0001684F"/>
    <w:rsid w:val="00016CFC"/>
    <w:rsid w:val="00017466"/>
    <w:rsid w:val="0001753B"/>
    <w:rsid w:val="0001776F"/>
    <w:rsid w:val="00020352"/>
    <w:rsid w:val="0002042E"/>
    <w:rsid w:val="00020C71"/>
    <w:rsid w:val="0002415D"/>
    <w:rsid w:val="00024216"/>
    <w:rsid w:val="00025C2F"/>
    <w:rsid w:val="00026DD2"/>
    <w:rsid w:val="00027748"/>
    <w:rsid w:val="000277E1"/>
    <w:rsid w:val="000307D7"/>
    <w:rsid w:val="00030A5D"/>
    <w:rsid w:val="0003201C"/>
    <w:rsid w:val="00033E32"/>
    <w:rsid w:val="00034686"/>
    <w:rsid w:val="0003489A"/>
    <w:rsid w:val="00035A31"/>
    <w:rsid w:val="00035C1D"/>
    <w:rsid w:val="00036982"/>
    <w:rsid w:val="00036A8F"/>
    <w:rsid w:val="0003779D"/>
    <w:rsid w:val="00037CC1"/>
    <w:rsid w:val="000402EC"/>
    <w:rsid w:val="00041799"/>
    <w:rsid w:val="00041AAD"/>
    <w:rsid w:val="00041BA7"/>
    <w:rsid w:val="00041DD2"/>
    <w:rsid w:val="0004263A"/>
    <w:rsid w:val="0004269D"/>
    <w:rsid w:val="00042E98"/>
    <w:rsid w:val="000460E4"/>
    <w:rsid w:val="00047EC2"/>
    <w:rsid w:val="000506D2"/>
    <w:rsid w:val="00051168"/>
    <w:rsid w:val="0005320C"/>
    <w:rsid w:val="000544EB"/>
    <w:rsid w:val="00054DCB"/>
    <w:rsid w:val="000555DF"/>
    <w:rsid w:val="000558A5"/>
    <w:rsid w:val="00055ABC"/>
    <w:rsid w:val="0005601D"/>
    <w:rsid w:val="0005757B"/>
    <w:rsid w:val="00061D50"/>
    <w:rsid w:val="0006275E"/>
    <w:rsid w:val="000633FA"/>
    <w:rsid w:val="00063709"/>
    <w:rsid w:val="00065379"/>
    <w:rsid w:val="00065618"/>
    <w:rsid w:val="00066353"/>
    <w:rsid w:val="000705F3"/>
    <w:rsid w:val="00070D07"/>
    <w:rsid w:val="0007129E"/>
    <w:rsid w:val="00071812"/>
    <w:rsid w:val="00072B29"/>
    <w:rsid w:val="00072B88"/>
    <w:rsid w:val="00072F96"/>
    <w:rsid w:val="0007391B"/>
    <w:rsid w:val="000739AB"/>
    <w:rsid w:val="00073B82"/>
    <w:rsid w:val="0007443A"/>
    <w:rsid w:val="00074954"/>
    <w:rsid w:val="00075A2F"/>
    <w:rsid w:val="00077637"/>
    <w:rsid w:val="000810E6"/>
    <w:rsid w:val="000819A7"/>
    <w:rsid w:val="0008223D"/>
    <w:rsid w:val="0008476F"/>
    <w:rsid w:val="00084D27"/>
    <w:rsid w:val="00085346"/>
    <w:rsid w:val="000866AC"/>
    <w:rsid w:val="0008691C"/>
    <w:rsid w:val="0008709C"/>
    <w:rsid w:val="00087FCE"/>
    <w:rsid w:val="000921C7"/>
    <w:rsid w:val="00093140"/>
    <w:rsid w:val="00093CFD"/>
    <w:rsid w:val="00095375"/>
    <w:rsid w:val="00095D37"/>
    <w:rsid w:val="00095E42"/>
    <w:rsid w:val="00095E5B"/>
    <w:rsid w:val="00096D81"/>
    <w:rsid w:val="000976CC"/>
    <w:rsid w:val="000A0895"/>
    <w:rsid w:val="000A0AD8"/>
    <w:rsid w:val="000A1006"/>
    <w:rsid w:val="000A103A"/>
    <w:rsid w:val="000A1F1E"/>
    <w:rsid w:val="000A5F43"/>
    <w:rsid w:val="000A6312"/>
    <w:rsid w:val="000A6F0D"/>
    <w:rsid w:val="000B0557"/>
    <w:rsid w:val="000B0917"/>
    <w:rsid w:val="000B3415"/>
    <w:rsid w:val="000B43AC"/>
    <w:rsid w:val="000B4835"/>
    <w:rsid w:val="000B485D"/>
    <w:rsid w:val="000B50F7"/>
    <w:rsid w:val="000B51DF"/>
    <w:rsid w:val="000B58D5"/>
    <w:rsid w:val="000B5B36"/>
    <w:rsid w:val="000B5E69"/>
    <w:rsid w:val="000B7059"/>
    <w:rsid w:val="000B7858"/>
    <w:rsid w:val="000C019B"/>
    <w:rsid w:val="000C3B6C"/>
    <w:rsid w:val="000C79D2"/>
    <w:rsid w:val="000D0033"/>
    <w:rsid w:val="000D1398"/>
    <w:rsid w:val="000D1BC3"/>
    <w:rsid w:val="000D21D7"/>
    <w:rsid w:val="000D2453"/>
    <w:rsid w:val="000D47AC"/>
    <w:rsid w:val="000D5DBD"/>
    <w:rsid w:val="000D673D"/>
    <w:rsid w:val="000D6A90"/>
    <w:rsid w:val="000D75F7"/>
    <w:rsid w:val="000E02EB"/>
    <w:rsid w:val="000E062D"/>
    <w:rsid w:val="000E22EB"/>
    <w:rsid w:val="000E237F"/>
    <w:rsid w:val="000E2ADF"/>
    <w:rsid w:val="000E3E7B"/>
    <w:rsid w:val="000E5657"/>
    <w:rsid w:val="000E71B0"/>
    <w:rsid w:val="000F0539"/>
    <w:rsid w:val="000F0DBA"/>
    <w:rsid w:val="000F15FC"/>
    <w:rsid w:val="000F26DB"/>
    <w:rsid w:val="000F3AEC"/>
    <w:rsid w:val="001028AB"/>
    <w:rsid w:val="0010354C"/>
    <w:rsid w:val="0010382A"/>
    <w:rsid w:val="001038CF"/>
    <w:rsid w:val="001063F2"/>
    <w:rsid w:val="00106655"/>
    <w:rsid w:val="00107067"/>
    <w:rsid w:val="0010710B"/>
    <w:rsid w:val="00107804"/>
    <w:rsid w:val="001102E1"/>
    <w:rsid w:val="00110E58"/>
    <w:rsid w:val="00110F85"/>
    <w:rsid w:val="00111AF5"/>
    <w:rsid w:val="00111EE9"/>
    <w:rsid w:val="001124FF"/>
    <w:rsid w:val="00112CDB"/>
    <w:rsid w:val="00114346"/>
    <w:rsid w:val="00114645"/>
    <w:rsid w:val="00114D84"/>
    <w:rsid w:val="001160D0"/>
    <w:rsid w:val="001162EE"/>
    <w:rsid w:val="0012032E"/>
    <w:rsid w:val="001214F5"/>
    <w:rsid w:val="00123FB8"/>
    <w:rsid w:val="00124673"/>
    <w:rsid w:val="00124F61"/>
    <w:rsid w:val="00124F66"/>
    <w:rsid w:val="00125440"/>
    <w:rsid w:val="00125492"/>
    <w:rsid w:val="001254C2"/>
    <w:rsid w:val="00125840"/>
    <w:rsid w:val="00125EA6"/>
    <w:rsid w:val="00126261"/>
    <w:rsid w:val="00127089"/>
    <w:rsid w:val="0012778C"/>
    <w:rsid w:val="001306AB"/>
    <w:rsid w:val="00132458"/>
    <w:rsid w:val="00132594"/>
    <w:rsid w:val="001353DF"/>
    <w:rsid w:val="001357F5"/>
    <w:rsid w:val="001359F2"/>
    <w:rsid w:val="00135A6A"/>
    <w:rsid w:val="00135C91"/>
    <w:rsid w:val="00135F12"/>
    <w:rsid w:val="0013641D"/>
    <w:rsid w:val="0013689D"/>
    <w:rsid w:val="0013690A"/>
    <w:rsid w:val="00137C3C"/>
    <w:rsid w:val="00140690"/>
    <w:rsid w:val="001414B1"/>
    <w:rsid w:val="00142250"/>
    <w:rsid w:val="00142F01"/>
    <w:rsid w:val="001444FF"/>
    <w:rsid w:val="001456E3"/>
    <w:rsid w:val="001465B7"/>
    <w:rsid w:val="0014794D"/>
    <w:rsid w:val="00151486"/>
    <w:rsid w:val="001524E4"/>
    <w:rsid w:val="00152C97"/>
    <w:rsid w:val="0015541B"/>
    <w:rsid w:val="00160709"/>
    <w:rsid w:val="001609E5"/>
    <w:rsid w:val="00161037"/>
    <w:rsid w:val="00161529"/>
    <w:rsid w:val="00161FB7"/>
    <w:rsid w:val="00163198"/>
    <w:rsid w:val="001645AE"/>
    <w:rsid w:val="00165C41"/>
    <w:rsid w:val="00165D44"/>
    <w:rsid w:val="00165FE7"/>
    <w:rsid w:val="00166CA6"/>
    <w:rsid w:val="0016718F"/>
    <w:rsid w:val="00170048"/>
    <w:rsid w:val="00170DDB"/>
    <w:rsid w:val="001716E7"/>
    <w:rsid w:val="00171A61"/>
    <w:rsid w:val="0017239F"/>
    <w:rsid w:val="00172D37"/>
    <w:rsid w:val="0017337F"/>
    <w:rsid w:val="00173B63"/>
    <w:rsid w:val="00173E54"/>
    <w:rsid w:val="0017565D"/>
    <w:rsid w:val="00175772"/>
    <w:rsid w:val="0018093D"/>
    <w:rsid w:val="00180F04"/>
    <w:rsid w:val="001813CA"/>
    <w:rsid w:val="00181697"/>
    <w:rsid w:val="001821EE"/>
    <w:rsid w:val="00183169"/>
    <w:rsid w:val="00183B69"/>
    <w:rsid w:val="001846C1"/>
    <w:rsid w:val="00185249"/>
    <w:rsid w:val="001862E7"/>
    <w:rsid w:val="00186D14"/>
    <w:rsid w:val="00191A2D"/>
    <w:rsid w:val="00191C04"/>
    <w:rsid w:val="00191E2C"/>
    <w:rsid w:val="001930A7"/>
    <w:rsid w:val="00193CA3"/>
    <w:rsid w:val="00194EAC"/>
    <w:rsid w:val="00195E7B"/>
    <w:rsid w:val="001974A1"/>
    <w:rsid w:val="00197BC5"/>
    <w:rsid w:val="001A0774"/>
    <w:rsid w:val="001A0906"/>
    <w:rsid w:val="001A0B19"/>
    <w:rsid w:val="001A0E43"/>
    <w:rsid w:val="001A123C"/>
    <w:rsid w:val="001A179E"/>
    <w:rsid w:val="001A1B84"/>
    <w:rsid w:val="001A1CB5"/>
    <w:rsid w:val="001A39DB"/>
    <w:rsid w:val="001A52AE"/>
    <w:rsid w:val="001A52F9"/>
    <w:rsid w:val="001A5688"/>
    <w:rsid w:val="001A6934"/>
    <w:rsid w:val="001A6E47"/>
    <w:rsid w:val="001A74F5"/>
    <w:rsid w:val="001B1E01"/>
    <w:rsid w:val="001B2F28"/>
    <w:rsid w:val="001B3075"/>
    <w:rsid w:val="001B5653"/>
    <w:rsid w:val="001C15FE"/>
    <w:rsid w:val="001C1796"/>
    <w:rsid w:val="001C3C18"/>
    <w:rsid w:val="001C428F"/>
    <w:rsid w:val="001C4C0A"/>
    <w:rsid w:val="001C66BF"/>
    <w:rsid w:val="001C7E6F"/>
    <w:rsid w:val="001D0A0F"/>
    <w:rsid w:val="001D0E66"/>
    <w:rsid w:val="001D1503"/>
    <w:rsid w:val="001D1762"/>
    <w:rsid w:val="001D2244"/>
    <w:rsid w:val="001D2592"/>
    <w:rsid w:val="001D48CF"/>
    <w:rsid w:val="001D49D7"/>
    <w:rsid w:val="001D4B70"/>
    <w:rsid w:val="001D4BA3"/>
    <w:rsid w:val="001D5982"/>
    <w:rsid w:val="001D6AED"/>
    <w:rsid w:val="001D6CCA"/>
    <w:rsid w:val="001D7640"/>
    <w:rsid w:val="001E08CB"/>
    <w:rsid w:val="001E183F"/>
    <w:rsid w:val="001E30D7"/>
    <w:rsid w:val="001E3850"/>
    <w:rsid w:val="001E6C73"/>
    <w:rsid w:val="001E7DDB"/>
    <w:rsid w:val="001F0C17"/>
    <w:rsid w:val="001F126F"/>
    <w:rsid w:val="001F14B9"/>
    <w:rsid w:val="001F2A03"/>
    <w:rsid w:val="001F2D36"/>
    <w:rsid w:val="001F3AB3"/>
    <w:rsid w:val="001F3EE4"/>
    <w:rsid w:val="001F4522"/>
    <w:rsid w:val="001F48D8"/>
    <w:rsid w:val="001F60EA"/>
    <w:rsid w:val="001F74B9"/>
    <w:rsid w:val="001F75C4"/>
    <w:rsid w:val="001F7C5C"/>
    <w:rsid w:val="002008F4"/>
    <w:rsid w:val="0020191B"/>
    <w:rsid w:val="002027DF"/>
    <w:rsid w:val="00203691"/>
    <w:rsid w:val="002045DD"/>
    <w:rsid w:val="00205B4E"/>
    <w:rsid w:val="00207DC6"/>
    <w:rsid w:val="00210B55"/>
    <w:rsid w:val="002117F8"/>
    <w:rsid w:val="00211F01"/>
    <w:rsid w:val="00212268"/>
    <w:rsid w:val="002123C9"/>
    <w:rsid w:val="00212876"/>
    <w:rsid w:val="00214AB6"/>
    <w:rsid w:val="0021507E"/>
    <w:rsid w:val="002151D1"/>
    <w:rsid w:val="00215E75"/>
    <w:rsid w:val="002172AF"/>
    <w:rsid w:val="002202AD"/>
    <w:rsid w:val="00220D18"/>
    <w:rsid w:val="00221F9C"/>
    <w:rsid w:val="00226D47"/>
    <w:rsid w:val="00230366"/>
    <w:rsid w:val="002308BC"/>
    <w:rsid w:val="00230C16"/>
    <w:rsid w:val="00232838"/>
    <w:rsid w:val="00235035"/>
    <w:rsid w:val="00235AA4"/>
    <w:rsid w:val="00235BC6"/>
    <w:rsid w:val="00235DF8"/>
    <w:rsid w:val="002361BF"/>
    <w:rsid w:val="00236768"/>
    <w:rsid w:val="00237207"/>
    <w:rsid w:val="002373A0"/>
    <w:rsid w:val="0023784B"/>
    <w:rsid w:val="002378FA"/>
    <w:rsid w:val="002409BA"/>
    <w:rsid w:val="00240B47"/>
    <w:rsid w:val="00240B4D"/>
    <w:rsid w:val="00242E09"/>
    <w:rsid w:val="002437AB"/>
    <w:rsid w:val="00243DE1"/>
    <w:rsid w:val="00246754"/>
    <w:rsid w:val="00250CD9"/>
    <w:rsid w:val="00250E4D"/>
    <w:rsid w:val="00250EE3"/>
    <w:rsid w:val="00251FED"/>
    <w:rsid w:val="00254D4B"/>
    <w:rsid w:val="00255B2B"/>
    <w:rsid w:val="00255EA0"/>
    <w:rsid w:val="002565BA"/>
    <w:rsid w:val="00256774"/>
    <w:rsid w:val="0026020C"/>
    <w:rsid w:val="00260CA0"/>
    <w:rsid w:val="00261359"/>
    <w:rsid w:val="00261F3B"/>
    <w:rsid w:val="002625B7"/>
    <w:rsid w:val="0026272B"/>
    <w:rsid w:val="00264615"/>
    <w:rsid w:val="002658ED"/>
    <w:rsid w:val="002660DA"/>
    <w:rsid w:val="002679E2"/>
    <w:rsid w:val="00270424"/>
    <w:rsid w:val="00271056"/>
    <w:rsid w:val="0027116A"/>
    <w:rsid w:val="00271337"/>
    <w:rsid w:val="00272D1C"/>
    <w:rsid w:val="00272FE1"/>
    <w:rsid w:val="002747C8"/>
    <w:rsid w:val="00275023"/>
    <w:rsid w:val="002762F1"/>
    <w:rsid w:val="0027693E"/>
    <w:rsid w:val="00276E97"/>
    <w:rsid w:val="00277557"/>
    <w:rsid w:val="00277790"/>
    <w:rsid w:val="00277873"/>
    <w:rsid w:val="00280044"/>
    <w:rsid w:val="00281C8E"/>
    <w:rsid w:val="00282603"/>
    <w:rsid w:val="00282B63"/>
    <w:rsid w:val="00283380"/>
    <w:rsid w:val="00284CD5"/>
    <w:rsid w:val="00284DCA"/>
    <w:rsid w:val="00285E8B"/>
    <w:rsid w:val="00285ECC"/>
    <w:rsid w:val="00286781"/>
    <w:rsid w:val="0028774E"/>
    <w:rsid w:val="00287775"/>
    <w:rsid w:val="00287933"/>
    <w:rsid w:val="00287CAB"/>
    <w:rsid w:val="002909E3"/>
    <w:rsid w:val="00291303"/>
    <w:rsid w:val="00291ACE"/>
    <w:rsid w:val="00291FE5"/>
    <w:rsid w:val="0029227B"/>
    <w:rsid w:val="002936FA"/>
    <w:rsid w:val="00293B55"/>
    <w:rsid w:val="002944EE"/>
    <w:rsid w:val="0029672F"/>
    <w:rsid w:val="00297C59"/>
    <w:rsid w:val="00297D9A"/>
    <w:rsid w:val="002A0984"/>
    <w:rsid w:val="002A178E"/>
    <w:rsid w:val="002A3CE6"/>
    <w:rsid w:val="002A4E7C"/>
    <w:rsid w:val="002A6461"/>
    <w:rsid w:val="002B032E"/>
    <w:rsid w:val="002B0621"/>
    <w:rsid w:val="002B12ED"/>
    <w:rsid w:val="002B193B"/>
    <w:rsid w:val="002B1993"/>
    <w:rsid w:val="002B4164"/>
    <w:rsid w:val="002B4914"/>
    <w:rsid w:val="002B4951"/>
    <w:rsid w:val="002B559B"/>
    <w:rsid w:val="002B66B8"/>
    <w:rsid w:val="002B682C"/>
    <w:rsid w:val="002B6BC2"/>
    <w:rsid w:val="002C1CA4"/>
    <w:rsid w:val="002C282B"/>
    <w:rsid w:val="002C3390"/>
    <w:rsid w:val="002C33DA"/>
    <w:rsid w:val="002C3AA6"/>
    <w:rsid w:val="002C3B94"/>
    <w:rsid w:val="002C3C3E"/>
    <w:rsid w:val="002C46FC"/>
    <w:rsid w:val="002C4980"/>
    <w:rsid w:val="002C4DBC"/>
    <w:rsid w:val="002C4E4C"/>
    <w:rsid w:val="002C5FA9"/>
    <w:rsid w:val="002C61D3"/>
    <w:rsid w:val="002C6D8A"/>
    <w:rsid w:val="002C7A47"/>
    <w:rsid w:val="002D092F"/>
    <w:rsid w:val="002D0CA1"/>
    <w:rsid w:val="002D2372"/>
    <w:rsid w:val="002D2764"/>
    <w:rsid w:val="002D36E2"/>
    <w:rsid w:val="002D5146"/>
    <w:rsid w:val="002E019A"/>
    <w:rsid w:val="002E047D"/>
    <w:rsid w:val="002E1DE5"/>
    <w:rsid w:val="002E2E3D"/>
    <w:rsid w:val="002E304C"/>
    <w:rsid w:val="002E4346"/>
    <w:rsid w:val="002E477C"/>
    <w:rsid w:val="002E66CA"/>
    <w:rsid w:val="002E69B4"/>
    <w:rsid w:val="002E6B32"/>
    <w:rsid w:val="002E79AA"/>
    <w:rsid w:val="002F04B4"/>
    <w:rsid w:val="002F19B2"/>
    <w:rsid w:val="002F3AF6"/>
    <w:rsid w:val="002F4C0E"/>
    <w:rsid w:val="002F5A75"/>
    <w:rsid w:val="002F65D7"/>
    <w:rsid w:val="002F7724"/>
    <w:rsid w:val="0030001F"/>
    <w:rsid w:val="00300EDA"/>
    <w:rsid w:val="003014C1"/>
    <w:rsid w:val="00301ADA"/>
    <w:rsid w:val="00302A26"/>
    <w:rsid w:val="00302BAA"/>
    <w:rsid w:val="00302EFE"/>
    <w:rsid w:val="003047CC"/>
    <w:rsid w:val="0030652C"/>
    <w:rsid w:val="00307ABF"/>
    <w:rsid w:val="0031210C"/>
    <w:rsid w:val="0031530F"/>
    <w:rsid w:val="003153D2"/>
    <w:rsid w:val="003158A2"/>
    <w:rsid w:val="00316310"/>
    <w:rsid w:val="00316FB3"/>
    <w:rsid w:val="003170DF"/>
    <w:rsid w:val="003170E9"/>
    <w:rsid w:val="00320040"/>
    <w:rsid w:val="00321348"/>
    <w:rsid w:val="00321A29"/>
    <w:rsid w:val="003229F4"/>
    <w:rsid w:val="00325AB3"/>
    <w:rsid w:val="00325C69"/>
    <w:rsid w:val="00325E7E"/>
    <w:rsid w:val="003277BA"/>
    <w:rsid w:val="00327A7C"/>
    <w:rsid w:val="00331CCC"/>
    <w:rsid w:val="003327AD"/>
    <w:rsid w:val="00332B6C"/>
    <w:rsid w:val="003332B6"/>
    <w:rsid w:val="00334E9E"/>
    <w:rsid w:val="0033689F"/>
    <w:rsid w:val="003374DD"/>
    <w:rsid w:val="00337D42"/>
    <w:rsid w:val="00341B86"/>
    <w:rsid w:val="003423AC"/>
    <w:rsid w:val="0034363B"/>
    <w:rsid w:val="00343F10"/>
    <w:rsid w:val="00344036"/>
    <w:rsid w:val="003446EF"/>
    <w:rsid w:val="00344B5B"/>
    <w:rsid w:val="00344E5F"/>
    <w:rsid w:val="00346B6D"/>
    <w:rsid w:val="00350C5C"/>
    <w:rsid w:val="00350D89"/>
    <w:rsid w:val="00350ECA"/>
    <w:rsid w:val="003522DA"/>
    <w:rsid w:val="00352BBB"/>
    <w:rsid w:val="00352E82"/>
    <w:rsid w:val="003532DF"/>
    <w:rsid w:val="00353615"/>
    <w:rsid w:val="00353E43"/>
    <w:rsid w:val="003548C6"/>
    <w:rsid w:val="0035543D"/>
    <w:rsid w:val="003555A2"/>
    <w:rsid w:val="00357030"/>
    <w:rsid w:val="00357CB0"/>
    <w:rsid w:val="00360308"/>
    <w:rsid w:val="003614AE"/>
    <w:rsid w:val="003615CD"/>
    <w:rsid w:val="003622FD"/>
    <w:rsid w:val="003623ED"/>
    <w:rsid w:val="0036277A"/>
    <w:rsid w:val="0036681B"/>
    <w:rsid w:val="00367422"/>
    <w:rsid w:val="00370191"/>
    <w:rsid w:val="00371373"/>
    <w:rsid w:val="00371A6F"/>
    <w:rsid w:val="00372246"/>
    <w:rsid w:val="00374815"/>
    <w:rsid w:val="00375037"/>
    <w:rsid w:val="00375189"/>
    <w:rsid w:val="00377520"/>
    <w:rsid w:val="00377BD3"/>
    <w:rsid w:val="00377C23"/>
    <w:rsid w:val="00380705"/>
    <w:rsid w:val="0038076A"/>
    <w:rsid w:val="00381881"/>
    <w:rsid w:val="00381CC1"/>
    <w:rsid w:val="00382B19"/>
    <w:rsid w:val="00383AFA"/>
    <w:rsid w:val="00384B72"/>
    <w:rsid w:val="00385122"/>
    <w:rsid w:val="003857ED"/>
    <w:rsid w:val="003901D5"/>
    <w:rsid w:val="003902D6"/>
    <w:rsid w:val="00390FFE"/>
    <w:rsid w:val="003920CA"/>
    <w:rsid w:val="00392676"/>
    <w:rsid w:val="00392BB0"/>
    <w:rsid w:val="003931CA"/>
    <w:rsid w:val="0039432D"/>
    <w:rsid w:val="00395172"/>
    <w:rsid w:val="003951A8"/>
    <w:rsid w:val="00396CE5"/>
    <w:rsid w:val="003A0945"/>
    <w:rsid w:val="003A3401"/>
    <w:rsid w:val="003A3516"/>
    <w:rsid w:val="003A3FC2"/>
    <w:rsid w:val="003A6BDE"/>
    <w:rsid w:val="003A6DAA"/>
    <w:rsid w:val="003A71E6"/>
    <w:rsid w:val="003A7907"/>
    <w:rsid w:val="003B050D"/>
    <w:rsid w:val="003B295F"/>
    <w:rsid w:val="003B2D23"/>
    <w:rsid w:val="003B4538"/>
    <w:rsid w:val="003B4B0A"/>
    <w:rsid w:val="003B4EA0"/>
    <w:rsid w:val="003B5769"/>
    <w:rsid w:val="003B59D5"/>
    <w:rsid w:val="003B5B49"/>
    <w:rsid w:val="003B64AF"/>
    <w:rsid w:val="003B66D2"/>
    <w:rsid w:val="003C1AB5"/>
    <w:rsid w:val="003C1FB4"/>
    <w:rsid w:val="003C235E"/>
    <w:rsid w:val="003C2B88"/>
    <w:rsid w:val="003C332E"/>
    <w:rsid w:val="003C35AC"/>
    <w:rsid w:val="003C369D"/>
    <w:rsid w:val="003C3D48"/>
    <w:rsid w:val="003C6540"/>
    <w:rsid w:val="003C67AE"/>
    <w:rsid w:val="003C73F0"/>
    <w:rsid w:val="003C753C"/>
    <w:rsid w:val="003C7607"/>
    <w:rsid w:val="003C7D1B"/>
    <w:rsid w:val="003D1514"/>
    <w:rsid w:val="003D25B1"/>
    <w:rsid w:val="003D2B56"/>
    <w:rsid w:val="003D2D9E"/>
    <w:rsid w:val="003D43B6"/>
    <w:rsid w:val="003D47FD"/>
    <w:rsid w:val="003D5BE4"/>
    <w:rsid w:val="003D67FC"/>
    <w:rsid w:val="003D6F5C"/>
    <w:rsid w:val="003D702D"/>
    <w:rsid w:val="003D7907"/>
    <w:rsid w:val="003E0013"/>
    <w:rsid w:val="003E0500"/>
    <w:rsid w:val="003E1EF3"/>
    <w:rsid w:val="003E1F8B"/>
    <w:rsid w:val="003E3FFA"/>
    <w:rsid w:val="003E41B8"/>
    <w:rsid w:val="003E5534"/>
    <w:rsid w:val="003E59B7"/>
    <w:rsid w:val="003E6575"/>
    <w:rsid w:val="003F0647"/>
    <w:rsid w:val="003F44CA"/>
    <w:rsid w:val="003F7F12"/>
    <w:rsid w:val="00402C2E"/>
    <w:rsid w:val="004031BC"/>
    <w:rsid w:val="00403771"/>
    <w:rsid w:val="00403E2B"/>
    <w:rsid w:val="00405283"/>
    <w:rsid w:val="00405F6A"/>
    <w:rsid w:val="004106B4"/>
    <w:rsid w:val="00410721"/>
    <w:rsid w:val="00410A66"/>
    <w:rsid w:val="00410A94"/>
    <w:rsid w:val="00410DCB"/>
    <w:rsid w:val="0041116B"/>
    <w:rsid w:val="00412919"/>
    <w:rsid w:val="00414377"/>
    <w:rsid w:val="00414447"/>
    <w:rsid w:val="00416872"/>
    <w:rsid w:val="00416D0E"/>
    <w:rsid w:val="0042104F"/>
    <w:rsid w:val="00423302"/>
    <w:rsid w:val="00423AEE"/>
    <w:rsid w:val="00424EEE"/>
    <w:rsid w:val="00425520"/>
    <w:rsid w:val="0042745F"/>
    <w:rsid w:val="00430510"/>
    <w:rsid w:val="00431184"/>
    <w:rsid w:val="004311A5"/>
    <w:rsid w:val="00431D38"/>
    <w:rsid w:val="00432199"/>
    <w:rsid w:val="004322A8"/>
    <w:rsid w:val="00433003"/>
    <w:rsid w:val="0043322E"/>
    <w:rsid w:val="004402DD"/>
    <w:rsid w:val="004402E8"/>
    <w:rsid w:val="004407D0"/>
    <w:rsid w:val="00440A60"/>
    <w:rsid w:val="00440FAB"/>
    <w:rsid w:val="00441CCF"/>
    <w:rsid w:val="00441F37"/>
    <w:rsid w:val="00442994"/>
    <w:rsid w:val="00442D88"/>
    <w:rsid w:val="004432F4"/>
    <w:rsid w:val="00445213"/>
    <w:rsid w:val="00445216"/>
    <w:rsid w:val="0044527F"/>
    <w:rsid w:val="00450D4F"/>
    <w:rsid w:val="00452B99"/>
    <w:rsid w:val="00452E77"/>
    <w:rsid w:val="00453FA6"/>
    <w:rsid w:val="00456102"/>
    <w:rsid w:val="00456F7F"/>
    <w:rsid w:val="0045789F"/>
    <w:rsid w:val="00461407"/>
    <w:rsid w:val="004635BC"/>
    <w:rsid w:val="00463992"/>
    <w:rsid w:val="00463D26"/>
    <w:rsid w:val="004651CA"/>
    <w:rsid w:val="00466167"/>
    <w:rsid w:val="004668A3"/>
    <w:rsid w:val="00467C47"/>
    <w:rsid w:val="00470158"/>
    <w:rsid w:val="00470A75"/>
    <w:rsid w:val="00471631"/>
    <w:rsid w:val="00472E46"/>
    <w:rsid w:val="00474337"/>
    <w:rsid w:val="00474587"/>
    <w:rsid w:val="0047588B"/>
    <w:rsid w:val="00480A52"/>
    <w:rsid w:val="00481377"/>
    <w:rsid w:val="00481CC4"/>
    <w:rsid w:val="00481D46"/>
    <w:rsid w:val="004829B2"/>
    <w:rsid w:val="004846D7"/>
    <w:rsid w:val="0048606F"/>
    <w:rsid w:val="004865EE"/>
    <w:rsid w:val="0049020F"/>
    <w:rsid w:val="00490460"/>
    <w:rsid w:val="00490463"/>
    <w:rsid w:val="0049078D"/>
    <w:rsid w:val="004908D1"/>
    <w:rsid w:val="004941CE"/>
    <w:rsid w:val="00494C4B"/>
    <w:rsid w:val="00495DB0"/>
    <w:rsid w:val="004961BB"/>
    <w:rsid w:val="00497590"/>
    <w:rsid w:val="00497F39"/>
    <w:rsid w:val="004A13A2"/>
    <w:rsid w:val="004A2699"/>
    <w:rsid w:val="004A2B00"/>
    <w:rsid w:val="004A3490"/>
    <w:rsid w:val="004A3B69"/>
    <w:rsid w:val="004A4263"/>
    <w:rsid w:val="004A4620"/>
    <w:rsid w:val="004A4863"/>
    <w:rsid w:val="004A4E71"/>
    <w:rsid w:val="004A58BA"/>
    <w:rsid w:val="004A7CFA"/>
    <w:rsid w:val="004B3647"/>
    <w:rsid w:val="004B4792"/>
    <w:rsid w:val="004B4D1D"/>
    <w:rsid w:val="004B4D24"/>
    <w:rsid w:val="004B5C0D"/>
    <w:rsid w:val="004B76EE"/>
    <w:rsid w:val="004B78F0"/>
    <w:rsid w:val="004C1608"/>
    <w:rsid w:val="004C208D"/>
    <w:rsid w:val="004C27B7"/>
    <w:rsid w:val="004C2B59"/>
    <w:rsid w:val="004C34A8"/>
    <w:rsid w:val="004C4AEB"/>
    <w:rsid w:val="004D2E84"/>
    <w:rsid w:val="004D5C96"/>
    <w:rsid w:val="004D6334"/>
    <w:rsid w:val="004D667D"/>
    <w:rsid w:val="004D67D1"/>
    <w:rsid w:val="004D6D51"/>
    <w:rsid w:val="004D7D12"/>
    <w:rsid w:val="004E00E5"/>
    <w:rsid w:val="004E0A0D"/>
    <w:rsid w:val="004E4661"/>
    <w:rsid w:val="004E4DFF"/>
    <w:rsid w:val="004E6847"/>
    <w:rsid w:val="004E7088"/>
    <w:rsid w:val="004E775B"/>
    <w:rsid w:val="004F1D49"/>
    <w:rsid w:val="004F2596"/>
    <w:rsid w:val="004F418A"/>
    <w:rsid w:val="004F4C5A"/>
    <w:rsid w:val="004F4D44"/>
    <w:rsid w:val="004F5A49"/>
    <w:rsid w:val="004F70E1"/>
    <w:rsid w:val="004F77E7"/>
    <w:rsid w:val="00500BF1"/>
    <w:rsid w:val="00500FE2"/>
    <w:rsid w:val="00503601"/>
    <w:rsid w:val="00503CCB"/>
    <w:rsid w:val="00503D1C"/>
    <w:rsid w:val="00503E5D"/>
    <w:rsid w:val="00504E98"/>
    <w:rsid w:val="0050509C"/>
    <w:rsid w:val="005060BB"/>
    <w:rsid w:val="0051007C"/>
    <w:rsid w:val="00511A22"/>
    <w:rsid w:val="005132ED"/>
    <w:rsid w:val="00514185"/>
    <w:rsid w:val="005153BB"/>
    <w:rsid w:val="00515E59"/>
    <w:rsid w:val="0051608E"/>
    <w:rsid w:val="005162C1"/>
    <w:rsid w:val="00516510"/>
    <w:rsid w:val="00517168"/>
    <w:rsid w:val="005176ED"/>
    <w:rsid w:val="005177F7"/>
    <w:rsid w:val="005200E8"/>
    <w:rsid w:val="005203F6"/>
    <w:rsid w:val="00523081"/>
    <w:rsid w:val="005310DD"/>
    <w:rsid w:val="005327A3"/>
    <w:rsid w:val="00532ADA"/>
    <w:rsid w:val="00533CE9"/>
    <w:rsid w:val="00534A53"/>
    <w:rsid w:val="00534B97"/>
    <w:rsid w:val="00535A3B"/>
    <w:rsid w:val="00537836"/>
    <w:rsid w:val="00537A2C"/>
    <w:rsid w:val="005400F2"/>
    <w:rsid w:val="00540396"/>
    <w:rsid w:val="0054084B"/>
    <w:rsid w:val="00540D88"/>
    <w:rsid w:val="00541983"/>
    <w:rsid w:val="00541F51"/>
    <w:rsid w:val="00542998"/>
    <w:rsid w:val="00542D5F"/>
    <w:rsid w:val="00544B11"/>
    <w:rsid w:val="005450D4"/>
    <w:rsid w:val="0054623F"/>
    <w:rsid w:val="00552BBF"/>
    <w:rsid w:val="00552D16"/>
    <w:rsid w:val="00553421"/>
    <w:rsid w:val="005534B4"/>
    <w:rsid w:val="005536C4"/>
    <w:rsid w:val="0055582E"/>
    <w:rsid w:val="00555987"/>
    <w:rsid w:val="0055689D"/>
    <w:rsid w:val="00556CE4"/>
    <w:rsid w:val="00557EA3"/>
    <w:rsid w:val="00557F4C"/>
    <w:rsid w:val="0056065C"/>
    <w:rsid w:val="0056325B"/>
    <w:rsid w:val="00567EF2"/>
    <w:rsid w:val="005715F6"/>
    <w:rsid w:val="005719CE"/>
    <w:rsid w:val="00571EC5"/>
    <w:rsid w:val="00573345"/>
    <w:rsid w:val="005801E1"/>
    <w:rsid w:val="00580709"/>
    <w:rsid w:val="00581074"/>
    <w:rsid w:val="00583AF4"/>
    <w:rsid w:val="00583E5F"/>
    <w:rsid w:val="00584435"/>
    <w:rsid w:val="00585A5B"/>
    <w:rsid w:val="00585D57"/>
    <w:rsid w:val="0058775F"/>
    <w:rsid w:val="00590AC0"/>
    <w:rsid w:val="00590D80"/>
    <w:rsid w:val="00591539"/>
    <w:rsid w:val="005920E4"/>
    <w:rsid w:val="0059221D"/>
    <w:rsid w:val="00592547"/>
    <w:rsid w:val="0059306C"/>
    <w:rsid w:val="00594E08"/>
    <w:rsid w:val="00597EF2"/>
    <w:rsid w:val="00597FC6"/>
    <w:rsid w:val="005A002D"/>
    <w:rsid w:val="005A0184"/>
    <w:rsid w:val="005A2725"/>
    <w:rsid w:val="005A31BA"/>
    <w:rsid w:val="005A4485"/>
    <w:rsid w:val="005A47A8"/>
    <w:rsid w:val="005B421C"/>
    <w:rsid w:val="005B6292"/>
    <w:rsid w:val="005B6B3A"/>
    <w:rsid w:val="005B77EE"/>
    <w:rsid w:val="005C0FE8"/>
    <w:rsid w:val="005C1BF4"/>
    <w:rsid w:val="005C21C4"/>
    <w:rsid w:val="005C31C0"/>
    <w:rsid w:val="005C3860"/>
    <w:rsid w:val="005C46DB"/>
    <w:rsid w:val="005C4BA7"/>
    <w:rsid w:val="005C598B"/>
    <w:rsid w:val="005C5A6C"/>
    <w:rsid w:val="005D0454"/>
    <w:rsid w:val="005D05F7"/>
    <w:rsid w:val="005D0F7E"/>
    <w:rsid w:val="005D1A3F"/>
    <w:rsid w:val="005D1CD1"/>
    <w:rsid w:val="005D2508"/>
    <w:rsid w:val="005D26DC"/>
    <w:rsid w:val="005D3901"/>
    <w:rsid w:val="005E03DE"/>
    <w:rsid w:val="005E059F"/>
    <w:rsid w:val="005E08E0"/>
    <w:rsid w:val="005E311A"/>
    <w:rsid w:val="005E3808"/>
    <w:rsid w:val="005E3EBD"/>
    <w:rsid w:val="005E47B6"/>
    <w:rsid w:val="005E4B7D"/>
    <w:rsid w:val="005E57AC"/>
    <w:rsid w:val="005E5EB9"/>
    <w:rsid w:val="005E78BF"/>
    <w:rsid w:val="005F020B"/>
    <w:rsid w:val="005F1E0E"/>
    <w:rsid w:val="005F3039"/>
    <w:rsid w:val="005F39D5"/>
    <w:rsid w:val="005F494C"/>
    <w:rsid w:val="00601173"/>
    <w:rsid w:val="00602FDB"/>
    <w:rsid w:val="0060420E"/>
    <w:rsid w:val="00605B70"/>
    <w:rsid w:val="00605EE3"/>
    <w:rsid w:val="0060685E"/>
    <w:rsid w:val="00606909"/>
    <w:rsid w:val="0060696C"/>
    <w:rsid w:val="00606B7B"/>
    <w:rsid w:val="00607965"/>
    <w:rsid w:val="0061140A"/>
    <w:rsid w:val="006117BA"/>
    <w:rsid w:val="00612620"/>
    <w:rsid w:val="00612697"/>
    <w:rsid w:val="006132C8"/>
    <w:rsid w:val="00615C7A"/>
    <w:rsid w:val="0061678F"/>
    <w:rsid w:val="00616A6C"/>
    <w:rsid w:val="0061734E"/>
    <w:rsid w:val="006176CA"/>
    <w:rsid w:val="00617A5E"/>
    <w:rsid w:val="00621563"/>
    <w:rsid w:val="00621C3F"/>
    <w:rsid w:val="00622D8D"/>
    <w:rsid w:val="00623770"/>
    <w:rsid w:val="00624871"/>
    <w:rsid w:val="00624C7E"/>
    <w:rsid w:val="00625950"/>
    <w:rsid w:val="00626007"/>
    <w:rsid w:val="0062687C"/>
    <w:rsid w:val="00630091"/>
    <w:rsid w:val="00630618"/>
    <w:rsid w:val="006329D0"/>
    <w:rsid w:val="006336CD"/>
    <w:rsid w:val="006350F9"/>
    <w:rsid w:val="00637B64"/>
    <w:rsid w:val="00637C5E"/>
    <w:rsid w:val="00637D92"/>
    <w:rsid w:val="0064200A"/>
    <w:rsid w:val="00642737"/>
    <w:rsid w:val="00642B6E"/>
    <w:rsid w:val="00643547"/>
    <w:rsid w:val="00644D11"/>
    <w:rsid w:val="00645D01"/>
    <w:rsid w:val="00646AC2"/>
    <w:rsid w:val="0064718D"/>
    <w:rsid w:val="0064794F"/>
    <w:rsid w:val="00647D32"/>
    <w:rsid w:val="00647E86"/>
    <w:rsid w:val="0065053A"/>
    <w:rsid w:val="006505A3"/>
    <w:rsid w:val="006506B0"/>
    <w:rsid w:val="0065134A"/>
    <w:rsid w:val="0065161C"/>
    <w:rsid w:val="0065273B"/>
    <w:rsid w:val="00652C6F"/>
    <w:rsid w:val="0065583B"/>
    <w:rsid w:val="006573E1"/>
    <w:rsid w:val="006608A9"/>
    <w:rsid w:val="00662CFA"/>
    <w:rsid w:val="00664FBF"/>
    <w:rsid w:val="0066654A"/>
    <w:rsid w:val="006667EA"/>
    <w:rsid w:val="006671E6"/>
    <w:rsid w:val="00670672"/>
    <w:rsid w:val="00673482"/>
    <w:rsid w:val="00674681"/>
    <w:rsid w:val="00674946"/>
    <w:rsid w:val="006765A9"/>
    <w:rsid w:val="006768FF"/>
    <w:rsid w:val="00680E86"/>
    <w:rsid w:val="00681D2F"/>
    <w:rsid w:val="00682E40"/>
    <w:rsid w:val="0068372F"/>
    <w:rsid w:val="00684B49"/>
    <w:rsid w:val="00684FFF"/>
    <w:rsid w:val="0068667C"/>
    <w:rsid w:val="00686ECF"/>
    <w:rsid w:val="0069005A"/>
    <w:rsid w:val="00691A8F"/>
    <w:rsid w:val="00691F46"/>
    <w:rsid w:val="00692694"/>
    <w:rsid w:val="00692F89"/>
    <w:rsid w:val="0069324A"/>
    <w:rsid w:val="006932F3"/>
    <w:rsid w:val="0069378D"/>
    <w:rsid w:val="0069407B"/>
    <w:rsid w:val="006941D0"/>
    <w:rsid w:val="0069467E"/>
    <w:rsid w:val="006957C1"/>
    <w:rsid w:val="006960CC"/>
    <w:rsid w:val="006A0464"/>
    <w:rsid w:val="006A0EE8"/>
    <w:rsid w:val="006A0F94"/>
    <w:rsid w:val="006A110F"/>
    <w:rsid w:val="006A3011"/>
    <w:rsid w:val="006A3D72"/>
    <w:rsid w:val="006A3E49"/>
    <w:rsid w:val="006A40BD"/>
    <w:rsid w:val="006A4906"/>
    <w:rsid w:val="006A4CA6"/>
    <w:rsid w:val="006A6B89"/>
    <w:rsid w:val="006A705D"/>
    <w:rsid w:val="006B067B"/>
    <w:rsid w:val="006B070F"/>
    <w:rsid w:val="006B0F29"/>
    <w:rsid w:val="006B1978"/>
    <w:rsid w:val="006B2676"/>
    <w:rsid w:val="006B2A59"/>
    <w:rsid w:val="006B2F55"/>
    <w:rsid w:val="006B3CF6"/>
    <w:rsid w:val="006B6056"/>
    <w:rsid w:val="006C080F"/>
    <w:rsid w:val="006C0885"/>
    <w:rsid w:val="006C1531"/>
    <w:rsid w:val="006C154B"/>
    <w:rsid w:val="006C3D57"/>
    <w:rsid w:val="006C4D86"/>
    <w:rsid w:val="006C4FDD"/>
    <w:rsid w:val="006C521D"/>
    <w:rsid w:val="006C610D"/>
    <w:rsid w:val="006C631C"/>
    <w:rsid w:val="006C7FBF"/>
    <w:rsid w:val="006D025D"/>
    <w:rsid w:val="006D0872"/>
    <w:rsid w:val="006D1D97"/>
    <w:rsid w:val="006D2FD7"/>
    <w:rsid w:val="006D3FB0"/>
    <w:rsid w:val="006D54B9"/>
    <w:rsid w:val="006E032C"/>
    <w:rsid w:val="006E05B4"/>
    <w:rsid w:val="006E0FE8"/>
    <w:rsid w:val="006E1EA2"/>
    <w:rsid w:val="006E32DA"/>
    <w:rsid w:val="006E3343"/>
    <w:rsid w:val="006E3D0C"/>
    <w:rsid w:val="006E3D43"/>
    <w:rsid w:val="006E3F84"/>
    <w:rsid w:val="006E5518"/>
    <w:rsid w:val="006E554A"/>
    <w:rsid w:val="006E5BF4"/>
    <w:rsid w:val="006E6554"/>
    <w:rsid w:val="006E6574"/>
    <w:rsid w:val="006F0737"/>
    <w:rsid w:val="006F1076"/>
    <w:rsid w:val="006F1BA5"/>
    <w:rsid w:val="006F4091"/>
    <w:rsid w:val="006F45B7"/>
    <w:rsid w:val="006F47F3"/>
    <w:rsid w:val="006F53A5"/>
    <w:rsid w:val="006F5921"/>
    <w:rsid w:val="00700EB5"/>
    <w:rsid w:val="0070222A"/>
    <w:rsid w:val="00702549"/>
    <w:rsid w:val="0070380C"/>
    <w:rsid w:val="00703BC8"/>
    <w:rsid w:val="00703ED1"/>
    <w:rsid w:val="00704951"/>
    <w:rsid w:val="00704FEA"/>
    <w:rsid w:val="007064C2"/>
    <w:rsid w:val="00706F2E"/>
    <w:rsid w:val="0070742F"/>
    <w:rsid w:val="00710DB2"/>
    <w:rsid w:val="00711525"/>
    <w:rsid w:val="0071236A"/>
    <w:rsid w:val="00712B5C"/>
    <w:rsid w:val="00712E6F"/>
    <w:rsid w:val="00713055"/>
    <w:rsid w:val="0071346F"/>
    <w:rsid w:val="007139C6"/>
    <w:rsid w:val="00714CA6"/>
    <w:rsid w:val="00716851"/>
    <w:rsid w:val="00717410"/>
    <w:rsid w:val="007179E5"/>
    <w:rsid w:val="007207B0"/>
    <w:rsid w:val="00720DE4"/>
    <w:rsid w:val="00722287"/>
    <w:rsid w:val="00722CFE"/>
    <w:rsid w:val="007231E6"/>
    <w:rsid w:val="00723E6A"/>
    <w:rsid w:val="00723E93"/>
    <w:rsid w:val="00724B97"/>
    <w:rsid w:val="00724F4A"/>
    <w:rsid w:val="00725834"/>
    <w:rsid w:val="00725D62"/>
    <w:rsid w:val="0072650B"/>
    <w:rsid w:val="00726AFB"/>
    <w:rsid w:val="007270CD"/>
    <w:rsid w:val="00727633"/>
    <w:rsid w:val="0072776A"/>
    <w:rsid w:val="00730DE4"/>
    <w:rsid w:val="007310D9"/>
    <w:rsid w:val="0073245F"/>
    <w:rsid w:val="00732ABF"/>
    <w:rsid w:val="00732E34"/>
    <w:rsid w:val="00733288"/>
    <w:rsid w:val="00733411"/>
    <w:rsid w:val="007343D0"/>
    <w:rsid w:val="00734C1B"/>
    <w:rsid w:val="00734EA9"/>
    <w:rsid w:val="00735EFA"/>
    <w:rsid w:val="00737E32"/>
    <w:rsid w:val="007406E3"/>
    <w:rsid w:val="007418E1"/>
    <w:rsid w:val="00741BC9"/>
    <w:rsid w:val="00742955"/>
    <w:rsid w:val="00743FA8"/>
    <w:rsid w:val="0074444A"/>
    <w:rsid w:val="00744DE4"/>
    <w:rsid w:val="00745014"/>
    <w:rsid w:val="007450A0"/>
    <w:rsid w:val="0074541E"/>
    <w:rsid w:val="007477C0"/>
    <w:rsid w:val="00750646"/>
    <w:rsid w:val="00750F01"/>
    <w:rsid w:val="0075149F"/>
    <w:rsid w:val="007515F8"/>
    <w:rsid w:val="00752D73"/>
    <w:rsid w:val="00753517"/>
    <w:rsid w:val="007536A1"/>
    <w:rsid w:val="007538E4"/>
    <w:rsid w:val="00754AAA"/>
    <w:rsid w:val="00757ADE"/>
    <w:rsid w:val="0076170E"/>
    <w:rsid w:val="00762DD8"/>
    <w:rsid w:val="00764518"/>
    <w:rsid w:val="00765491"/>
    <w:rsid w:val="007665C2"/>
    <w:rsid w:val="00766FAE"/>
    <w:rsid w:val="007670DE"/>
    <w:rsid w:val="00771A52"/>
    <w:rsid w:val="0077239D"/>
    <w:rsid w:val="00773470"/>
    <w:rsid w:val="0077651C"/>
    <w:rsid w:val="00776609"/>
    <w:rsid w:val="00776B75"/>
    <w:rsid w:val="00777995"/>
    <w:rsid w:val="00780B0C"/>
    <w:rsid w:val="00780B3E"/>
    <w:rsid w:val="00780D4E"/>
    <w:rsid w:val="007840E0"/>
    <w:rsid w:val="00784DB2"/>
    <w:rsid w:val="007856AE"/>
    <w:rsid w:val="00785844"/>
    <w:rsid w:val="00790072"/>
    <w:rsid w:val="007903E8"/>
    <w:rsid w:val="00790D7F"/>
    <w:rsid w:val="007915D9"/>
    <w:rsid w:val="007916E4"/>
    <w:rsid w:val="00794555"/>
    <w:rsid w:val="007A0DDD"/>
    <w:rsid w:val="007A15E9"/>
    <w:rsid w:val="007A16A5"/>
    <w:rsid w:val="007A325D"/>
    <w:rsid w:val="007A3FA9"/>
    <w:rsid w:val="007A73BB"/>
    <w:rsid w:val="007A7CE6"/>
    <w:rsid w:val="007B0743"/>
    <w:rsid w:val="007B0B4A"/>
    <w:rsid w:val="007B0F01"/>
    <w:rsid w:val="007B10FC"/>
    <w:rsid w:val="007B1ED5"/>
    <w:rsid w:val="007B2D22"/>
    <w:rsid w:val="007B3812"/>
    <w:rsid w:val="007B3B11"/>
    <w:rsid w:val="007B3BAF"/>
    <w:rsid w:val="007B4FB1"/>
    <w:rsid w:val="007B5E77"/>
    <w:rsid w:val="007B6174"/>
    <w:rsid w:val="007B634D"/>
    <w:rsid w:val="007B700D"/>
    <w:rsid w:val="007B72D6"/>
    <w:rsid w:val="007C153F"/>
    <w:rsid w:val="007C2BC5"/>
    <w:rsid w:val="007C37CD"/>
    <w:rsid w:val="007C417A"/>
    <w:rsid w:val="007C50C6"/>
    <w:rsid w:val="007C50D1"/>
    <w:rsid w:val="007C6358"/>
    <w:rsid w:val="007D002A"/>
    <w:rsid w:val="007D12F5"/>
    <w:rsid w:val="007D1C57"/>
    <w:rsid w:val="007D254A"/>
    <w:rsid w:val="007D2706"/>
    <w:rsid w:val="007D34F3"/>
    <w:rsid w:val="007D419B"/>
    <w:rsid w:val="007D6D7A"/>
    <w:rsid w:val="007D7049"/>
    <w:rsid w:val="007D7DCD"/>
    <w:rsid w:val="007D7E00"/>
    <w:rsid w:val="007E0543"/>
    <w:rsid w:val="007E0DD9"/>
    <w:rsid w:val="007E1F6E"/>
    <w:rsid w:val="007E1FE8"/>
    <w:rsid w:val="007E2292"/>
    <w:rsid w:val="007E4DB7"/>
    <w:rsid w:val="007E52B6"/>
    <w:rsid w:val="007E68DA"/>
    <w:rsid w:val="007F018F"/>
    <w:rsid w:val="007F1090"/>
    <w:rsid w:val="007F10DA"/>
    <w:rsid w:val="007F1BF9"/>
    <w:rsid w:val="007F54F7"/>
    <w:rsid w:val="007F6700"/>
    <w:rsid w:val="007F7D1B"/>
    <w:rsid w:val="00800750"/>
    <w:rsid w:val="008008D8"/>
    <w:rsid w:val="00803036"/>
    <w:rsid w:val="00804391"/>
    <w:rsid w:val="00804C6A"/>
    <w:rsid w:val="00804EEF"/>
    <w:rsid w:val="008070B4"/>
    <w:rsid w:val="00807649"/>
    <w:rsid w:val="00807948"/>
    <w:rsid w:val="00810578"/>
    <w:rsid w:val="00810E3A"/>
    <w:rsid w:val="008114E3"/>
    <w:rsid w:val="00812688"/>
    <w:rsid w:val="0081293E"/>
    <w:rsid w:val="0081448B"/>
    <w:rsid w:val="008163F6"/>
    <w:rsid w:val="00816C8B"/>
    <w:rsid w:val="00817B66"/>
    <w:rsid w:val="00817C3C"/>
    <w:rsid w:val="008204AE"/>
    <w:rsid w:val="00820913"/>
    <w:rsid w:val="00821356"/>
    <w:rsid w:val="00822058"/>
    <w:rsid w:val="0082397F"/>
    <w:rsid w:val="00823FEC"/>
    <w:rsid w:val="0082577B"/>
    <w:rsid w:val="00826585"/>
    <w:rsid w:val="008272F8"/>
    <w:rsid w:val="00827B6B"/>
    <w:rsid w:val="00830E0D"/>
    <w:rsid w:val="00830EA7"/>
    <w:rsid w:val="00830F1E"/>
    <w:rsid w:val="00831363"/>
    <w:rsid w:val="008317F9"/>
    <w:rsid w:val="0083227C"/>
    <w:rsid w:val="00832FAD"/>
    <w:rsid w:val="0083422F"/>
    <w:rsid w:val="0083560F"/>
    <w:rsid w:val="00835A36"/>
    <w:rsid w:val="00840363"/>
    <w:rsid w:val="008415FF"/>
    <w:rsid w:val="00841A38"/>
    <w:rsid w:val="00842312"/>
    <w:rsid w:val="00843553"/>
    <w:rsid w:val="00843963"/>
    <w:rsid w:val="00843B77"/>
    <w:rsid w:val="008459FA"/>
    <w:rsid w:val="008464A9"/>
    <w:rsid w:val="0084752E"/>
    <w:rsid w:val="00847CDF"/>
    <w:rsid w:val="00850710"/>
    <w:rsid w:val="00850841"/>
    <w:rsid w:val="008509B7"/>
    <w:rsid w:val="008540A6"/>
    <w:rsid w:val="008558B0"/>
    <w:rsid w:val="00860446"/>
    <w:rsid w:val="008604A2"/>
    <w:rsid w:val="00860801"/>
    <w:rsid w:val="00860A62"/>
    <w:rsid w:val="00860A98"/>
    <w:rsid w:val="00860BB0"/>
    <w:rsid w:val="00861F0D"/>
    <w:rsid w:val="0086218E"/>
    <w:rsid w:val="00862C0C"/>
    <w:rsid w:val="008647FD"/>
    <w:rsid w:val="00864DB3"/>
    <w:rsid w:val="0086621E"/>
    <w:rsid w:val="008700CD"/>
    <w:rsid w:val="00870F40"/>
    <w:rsid w:val="00871691"/>
    <w:rsid w:val="0087284F"/>
    <w:rsid w:val="00872BDD"/>
    <w:rsid w:val="00874432"/>
    <w:rsid w:val="008749D1"/>
    <w:rsid w:val="0087599A"/>
    <w:rsid w:val="00876C16"/>
    <w:rsid w:val="008770F5"/>
    <w:rsid w:val="00877383"/>
    <w:rsid w:val="00877ABC"/>
    <w:rsid w:val="00877ED6"/>
    <w:rsid w:val="008812CE"/>
    <w:rsid w:val="008814D2"/>
    <w:rsid w:val="00881F58"/>
    <w:rsid w:val="00882636"/>
    <w:rsid w:val="00882895"/>
    <w:rsid w:val="00883E31"/>
    <w:rsid w:val="0088608E"/>
    <w:rsid w:val="00886B46"/>
    <w:rsid w:val="0088723C"/>
    <w:rsid w:val="0089028C"/>
    <w:rsid w:val="00890D60"/>
    <w:rsid w:val="008917B0"/>
    <w:rsid w:val="00891C7F"/>
    <w:rsid w:val="0089219F"/>
    <w:rsid w:val="008935DC"/>
    <w:rsid w:val="00894227"/>
    <w:rsid w:val="00897ED6"/>
    <w:rsid w:val="008A010E"/>
    <w:rsid w:val="008A0322"/>
    <w:rsid w:val="008A0E9D"/>
    <w:rsid w:val="008A2328"/>
    <w:rsid w:val="008A310E"/>
    <w:rsid w:val="008A365A"/>
    <w:rsid w:val="008A3B22"/>
    <w:rsid w:val="008A3F98"/>
    <w:rsid w:val="008A5989"/>
    <w:rsid w:val="008A7BA9"/>
    <w:rsid w:val="008A7BEA"/>
    <w:rsid w:val="008A7F3B"/>
    <w:rsid w:val="008B28BA"/>
    <w:rsid w:val="008B2DC1"/>
    <w:rsid w:val="008B46C6"/>
    <w:rsid w:val="008B5910"/>
    <w:rsid w:val="008B645D"/>
    <w:rsid w:val="008B7A2B"/>
    <w:rsid w:val="008C00BA"/>
    <w:rsid w:val="008C14A3"/>
    <w:rsid w:val="008C150B"/>
    <w:rsid w:val="008C2657"/>
    <w:rsid w:val="008C2C65"/>
    <w:rsid w:val="008C3577"/>
    <w:rsid w:val="008C4EA0"/>
    <w:rsid w:val="008D0B09"/>
    <w:rsid w:val="008D1434"/>
    <w:rsid w:val="008D177F"/>
    <w:rsid w:val="008D1842"/>
    <w:rsid w:val="008D2B62"/>
    <w:rsid w:val="008D2D5E"/>
    <w:rsid w:val="008D3661"/>
    <w:rsid w:val="008D47B3"/>
    <w:rsid w:val="008D6F96"/>
    <w:rsid w:val="008E0234"/>
    <w:rsid w:val="008E17C0"/>
    <w:rsid w:val="008E1D2A"/>
    <w:rsid w:val="008E20F7"/>
    <w:rsid w:val="008E32B9"/>
    <w:rsid w:val="008E509B"/>
    <w:rsid w:val="008E56EA"/>
    <w:rsid w:val="008E6C44"/>
    <w:rsid w:val="008E7222"/>
    <w:rsid w:val="008E7F5C"/>
    <w:rsid w:val="008E7F71"/>
    <w:rsid w:val="008F04FA"/>
    <w:rsid w:val="008F0C2B"/>
    <w:rsid w:val="008F12E8"/>
    <w:rsid w:val="008F2002"/>
    <w:rsid w:val="008F2B1B"/>
    <w:rsid w:val="008F4CF1"/>
    <w:rsid w:val="008F649F"/>
    <w:rsid w:val="008F69AF"/>
    <w:rsid w:val="008F6D93"/>
    <w:rsid w:val="008F7E42"/>
    <w:rsid w:val="009002F0"/>
    <w:rsid w:val="009013AF"/>
    <w:rsid w:val="00902020"/>
    <w:rsid w:val="009036AE"/>
    <w:rsid w:val="00903A69"/>
    <w:rsid w:val="00904A97"/>
    <w:rsid w:val="00904BF6"/>
    <w:rsid w:val="00904DF7"/>
    <w:rsid w:val="009053EA"/>
    <w:rsid w:val="00906245"/>
    <w:rsid w:val="009067CA"/>
    <w:rsid w:val="00907048"/>
    <w:rsid w:val="00910AA3"/>
    <w:rsid w:val="00914878"/>
    <w:rsid w:val="00914B77"/>
    <w:rsid w:val="00914CF2"/>
    <w:rsid w:val="00915288"/>
    <w:rsid w:val="00916925"/>
    <w:rsid w:val="0091779A"/>
    <w:rsid w:val="00920139"/>
    <w:rsid w:val="009215D1"/>
    <w:rsid w:val="00922315"/>
    <w:rsid w:val="0092367B"/>
    <w:rsid w:val="009245B1"/>
    <w:rsid w:val="00924BC6"/>
    <w:rsid w:val="00925E9B"/>
    <w:rsid w:val="009260EA"/>
    <w:rsid w:val="00926C16"/>
    <w:rsid w:val="00926D13"/>
    <w:rsid w:val="00930B58"/>
    <w:rsid w:val="00930BBF"/>
    <w:rsid w:val="0093609B"/>
    <w:rsid w:val="00937756"/>
    <w:rsid w:val="0094007D"/>
    <w:rsid w:val="00942893"/>
    <w:rsid w:val="00944958"/>
    <w:rsid w:val="00944C61"/>
    <w:rsid w:val="0094538A"/>
    <w:rsid w:val="00947B4B"/>
    <w:rsid w:val="00947DFA"/>
    <w:rsid w:val="00950EFF"/>
    <w:rsid w:val="00951399"/>
    <w:rsid w:val="00951A1B"/>
    <w:rsid w:val="00951CEA"/>
    <w:rsid w:val="0095201C"/>
    <w:rsid w:val="00952D17"/>
    <w:rsid w:val="0095322D"/>
    <w:rsid w:val="009537E3"/>
    <w:rsid w:val="00954DF9"/>
    <w:rsid w:val="00955C63"/>
    <w:rsid w:val="009600B7"/>
    <w:rsid w:val="00960141"/>
    <w:rsid w:val="00960506"/>
    <w:rsid w:val="0096106A"/>
    <w:rsid w:val="0096164E"/>
    <w:rsid w:val="009616D6"/>
    <w:rsid w:val="00961E8B"/>
    <w:rsid w:val="009634D7"/>
    <w:rsid w:val="009634E6"/>
    <w:rsid w:val="00963694"/>
    <w:rsid w:val="00964019"/>
    <w:rsid w:val="0096439E"/>
    <w:rsid w:val="0096511D"/>
    <w:rsid w:val="0096614E"/>
    <w:rsid w:val="00967145"/>
    <w:rsid w:val="0096775B"/>
    <w:rsid w:val="009704C5"/>
    <w:rsid w:val="00970EE8"/>
    <w:rsid w:val="009733F2"/>
    <w:rsid w:val="00974F84"/>
    <w:rsid w:val="009754D1"/>
    <w:rsid w:val="00975605"/>
    <w:rsid w:val="00975777"/>
    <w:rsid w:val="00976D0E"/>
    <w:rsid w:val="009778A2"/>
    <w:rsid w:val="00977F42"/>
    <w:rsid w:val="00981689"/>
    <w:rsid w:val="00981E0B"/>
    <w:rsid w:val="00982969"/>
    <w:rsid w:val="00982E09"/>
    <w:rsid w:val="00983C3D"/>
    <w:rsid w:val="00983C98"/>
    <w:rsid w:val="00983EFE"/>
    <w:rsid w:val="00984213"/>
    <w:rsid w:val="00984483"/>
    <w:rsid w:val="00984F30"/>
    <w:rsid w:val="00984F54"/>
    <w:rsid w:val="00986160"/>
    <w:rsid w:val="009862B2"/>
    <w:rsid w:val="009872F2"/>
    <w:rsid w:val="00990109"/>
    <w:rsid w:val="00990F04"/>
    <w:rsid w:val="009917D1"/>
    <w:rsid w:val="00991855"/>
    <w:rsid w:val="009918F1"/>
    <w:rsid w:val="00991A44"/>
    <w:rsid w:val="0099270A"/>
    <w:rsid w:val="00993E14"/>
    <w:rsid w:val="00994807"/>
    <w:rsid w:val="0099585F"/>
    <w:rsid w:val="009962C4"/>
    <w:rsid w:val="00996B70"/>
    <w:rsid w:val="009A17FA"/>
    <w:rsid w:val="009A2AF8"/>
    <w:rsid w:val="009A2CA6"/>
    <w:rsid w:val="009A3FDB"/>
    <w:rsid w:val="009A4010"/>
    <w:rsid w:val="009A4892"/>
    <w:rsid w:val="009A6DEE"/>
    <w:rsid w:val="009B14AD"/>
    <w:rsid w:val="009B1802"/>
    <w:rsid w:val="009B20CE"/>
    <w:rsid w:val="009B2756"/>
    <w:rsid w:val="009B2FE5"/>
    <w:rsid w:val="009B3D5A"/>
    <w:rsid w:val="009B5C9C"/>
    <w:rsid w:val="009B666A"/>
    <w:rsid w:val="009B7C3C"/>
    <w:rsid w:val="009C1844"/>
    <w:rsid w:val="009C1D43"/>
    <w:rsid w:val="009C2DE6"/>
    <w:rsid w:val="009C3E0D"/>
    <w:rsid w:val="009C7DCC"/>
    <w:rsid w:val="009D0E69"/>
    <w:rsid w:val="009D0E99"/>
    <w:rsid w:val="009D18F4"/>
    <w:rsid w:val="009D207D"/>
    <w:rsid w:val="009D28D3"/>
    <w:rsid w:val="009D2ADE"/>
    <w:rsid w:val="009D36AF"/>
    <w:rsid w:val="009D3E46"/>
    <w:rsid w:val="009D45ED"/>
    <w:rsid w:val="009D5293"/>
    <w:rsid w:val="009D5902"/>
    <w:rsid w:val="009D6403"/>
    <w:rsid w:val="009D6E9E"/>
    <w:rsid w:val="009D783B"/>
    <w:rsid w:val="009D7910"/>
    <w:rsid w:val="009E1097"/>
    <w:rsid w:val="009E14FF"/>
    <w:rsid w:val="009E1729"/>
    <w:rsid w:val="009E3A28"/>
    <w:rsid w:val="009E3A76"/>
    <w:rsid w:val="009E4F5C"/>
    <w:rsid w:val="009E65A6"/>
    <w:rsid w:val="009E6AF8"/>
    <w:rsid w:val="009E6C6A"/>
    <w:rsid w:val="009F10F8"/>
    <w:rsid w:val="009F1C7A"/>
    <w:rsid w:val="009F22EB"/>
    <w:rsid w:val="009F40E3"/>
    <w:rsid w:val="009F4184"/>
    <w:rsid w:val="009F59F6"/>
    <w:rsid w:val="009F5E5A"/>
    <w:rsid w:val="00A00BA4"/>
    <w:rsid w:val="00A018CD"/>
    <w:rsid w:val="00A02119"/>
    <w:rsid w:val="00A02183"/>
    <w:rsid w:val="00A03F8C"/>
    <w:rsid w:val="00A04024"/>
    <w:rsid w:val="00A04ECB"/>
    <w:rsid w:val="00A06BFE"/>
    <w:rsid w:val="00A078B9"/>
    <w:rsid w:val="00A07FBE"/>
    <w:rsid w:val="00A100C8"/>
    <w:rsid w:val="00A10B6B"/>
    <w:rsid w:val="00A10D1D"/>
    <w:rsid w:val="00A110C2"/>
    <w:rsid w:val="00A11C54"/>
    <w:rsid w:val="00A12BAD"/>
    <w:rsid w:val="00A12C1A"/>
    <w:rsid w:val="00A12FCF"/>
    <w:rsid w:val="00A135C7"/>
    <w:rsid w:val="00A14842"/>
    <w:rsid w:val="00A15750"/>
    <w:rsid w:val="00A17865"/>
    <w:rsid w:val="00A233B3"/>
    <w:rsid w:val="00A234A6"/>
    <w:rsid w:val="00A23E9C"/>
    <w:rsid w:val="00A247E7"/>
    <w:rsid w:val="00A2491C"/>
    <w:rsid w:val="00A25DAA"/>
    <w:rsid w:val="00A26D32"/>
    <w:rsid w:val="00A3207B"/>
    <w:rsid w:val="00A320A1"/>
    <w:rsid w:val="00A32883"/>
    <w:rsid w:val="00A33507"/>
    <w:rsid w:val="00A3402C"/>
    <w:rsid w:val="00A361EC"/>
    <w:rsid w:val="00A37962"/>
    <w:rsid w:val="00A40D61"/>
    <w:rsid w:val="00A40EAF"/>
    <w:rsid w:val="00A413E8"/>
    <w:rsid w:val="00A416E8"/>
    <w:rsid w:val="00A42CF7"/>
    <w:rsid w:val="00A42DAA"/>
    <w:rsid w:val="00A436C5"/>
    <w:rsid w:val="00A43CF5"/>
    <w:rsid w:val="00A443BF"/>
    <w:rsid w:val="00A4756A"/>
    <w:rsid w:val="00A47679"/>
    <w:rsid w:val="00A47EAB"/>
    <w:rsid w:val="00A50500"/>
    <w:rsid w:val="00A50B4F"/>
    <w:rsid w:val="00A52A25"/>
    <w:rsid w:val="00A53A8B"/>
    <w:rsid w:val="00A55C7D"/>
    <w:rsid w:val="00A56935"/>
    <w:rsid w:val="00A605A4"/>
    <w:rsid w:val="00A60C01"/>
    <w:rsid w:val="00A6295B"/>
    <w:rsid w:val="00A64695"/>
    <w:rsid w:val="00A65CAB"/>
    <w:rsid w:val="00A65EB7"/>
    <w:rsid w:val="00A711A3"/>
    <w:rsid w:val="00A727DE"/>
    <w:rsid w:val="00A75DB3"/>
    <w:rsid w:val="00A76AA9"/>
    <w:rsid w:val="00A76FD5"/>
    <w:rsid w:val="00A80392"/>
    <w:rsid w:val="00A805B5"/>
    <w:rsid w:val="00A80AB1"/>
    <w:rsid w:val="00A81602"/>
    <w:rsid w:val="00A831DF"/>
    <w:rsid w:val="00A8354F"/>
    <w:rsid w:val="00A84175"/>
    <w:rsid w:val="00A86941"/>
    <w:rsid w:val="00A87139"/>
    <w:rsid w:val="00A872C2"/>
    <w:rsid w:val="00A873CB"/>
    <w:rsid w:val="00A913CF"/>
    <w:rsid w:val="00A92F32"/>
    <w:rsid w:val="00A942C9"/>
    <w:rsid w:val="00A949E4"/>
    <w:rsid w:val="00A94C88"/>
    <w:rsid w:val="00A974DD"/>
    <w:rsid w:val="00AA035A"/>
    <w:rsid w:val="00AA088B"/>
    <w:rsid w:val="00AA0C5A"/>
    <w:rsid w:val="00AA12C5"/>
    <w:rsid w:val="00AA1A53"/>
    <w:rsid w:val="00AA3D64"/>
    <w:rsid w:val="00AA580D"/>
    <w:rsid w:val="00AA63CD"/>
    <w:rsid w:val="00AA6417"/>
    <w:rsid w:val="00AA7459"/>
    <w:rsid w:val="00AB0020"/>
    <w:rsid w:val="00AB0CB3"/>
    <w:rsid w:val="00AB1327"/>
    <w:rsid w:val="00AB150A"/>
    <w:rsid w:val="00AB2124"/>
    <w:rsid w:val="00AB2B65"/>
    <w:rsid w:val="00AB7640"/>
    <w:rsid w:val="00AB785D"/>
    <w:rsid w:val="00AC0D1D"/>
    <w:rsid w:val="00AC168A"/>
    <w:rsid w:val="00AC1A3B"/>
    <w:rsid w:val="00AC3F44"/>
    <w:rsid w:val="00AC41EA"/>
    <w:rsid w:val="00AC71D6"/>
    <w:rsid w:val="00AD0ACE"/>
    <w:rsid w:val="00AD2694"/>
    <w:rsid w:val="00AD2E3A"/>
    <w:rsid w:val="00AD306A"/>
    <w:rsid w:val="00AD31B6"/>
    <w:rsid w:val="00AD3802"/>
    <w:rsid w:val="00AD43CD"/>
    <w:rsid w:val="00AD6690"/>
    <w:rsid w:val="00AD6C74"/>
    <w:rsid w:val="00AD7A6C"/>
    <w:rsid w:val="00AE0452"/>
    <w:rsid w:val="00AE19A8"/>
    <w:rsid w:val="00AE1F7B"/>
    <w:rsid w:val="00AE2578"/>
    <w:rsid w:val="00AE35A4"/>
    <w:rsid w:val="00AE53A3"/>
    <w:rsid w:val="00AE5629"/>
    <w:rsid w:val="00AE59AF"/>
    <w:rsid w:val="00AE689D"/>
    <w:rsid w:val="00AE6B55"/>
    <w:rsid w:val="00AF01C5"/>
    <w:rsid w:val="00AF2D58"/>
    <w:rsid w:val="00AF52AE"/>
    <w:rsid w:val="00AF5B36"/>
    <w:rsid w:val="00AF5FCB"/>
    <w:rsid w:val="00B00418"/>
    <w:rsid w:val="00B00A3D"/>
    <w:rsid w:val="00B0231C"/>
    <w:rsid w:val="00B02506"/>
    <w:rsid w:val="00B0269A"/>
    <w:rsid w:val="00B02910"/>
    <w:rsid w:val="00B054CE"/>
    <w:rsid w:val="00B062DF"/>
    <w:rsid w:val="00B064DC"/>
    <w:rsid w:val="00B07A5D"/>
    <w:rsid w:val="00B110CD"/>
    <w:rsid w:val="00B111C5"/>
    <w:rsid w:val="00B1240D"/>
    <w:rsid w:val="00B134BF"/>
    <w:rsid w:val="00B20C59"/>
    <w:rsid w:val="00B216DF"/>
    <w:rsid w:val="00B23BAC"/>
    <w:rsid w:val="00B24777"/>
    <w:rsid w:val="00B27BEF"/>
    <w:rsid w:val="00B27D2C"/>
    <w:rsid w:val="00B3023C"/>
    <w:rsid w:val="00B304D1"/>
    <w:rsid w:val="00B305B9"/>
    <w:rsid w:val="00B314F5"/>
    <w:rsid w:val="00B32019"/>
    <w:rsid w:val="00B32249"/>
    <w:rsid w:val="00B33877"/>
    <w:rsid w:val="00B33E18"/>
    <w:rsid w:val="00B34B1D"/>
    <w:rsid w:val="00B34CD0"/>
    <w:rsid w:val="00B353DD"/>
    <w:rsid w:val="00B35D07"/>
    <w:rsid w:val="00B37306"/>
    <w:rsid w:val="00B4007B"/>
    <w:rsid w:val="00B400CF"/>
    <w:rsid w:val="00B40983"/>
    <w:rsid w:val="00B41DE6"/>
    <w:rsid w:val="00B41E6F"/>
    <w:rsid w:val="00B42504"/>
    <w:rsid w:val="00B433E8"/>
    <w:rsid w:val="00B4514B"/>
    <w:rsid w:val="00B46531"/>
    <w:rsid w:val="00B46642"/>
    <w:rsid w:val="00B4798E"/>
    <w:rsid w:val="00B51A4B"/>
    <w:rsid w:val="00B524B9"/>
    <w:rsid w:val="00B53AC9"/>
    <w:rsid w:val="00B5798F"/>
    <w:rsid w:val="00B60CE5"/>
    <w:rsid w:val="00B630D2"/>
    <w:rsid w:val="00B63261"/>
    <w:rsid w:val="00B63520"/>
    <w:rsid w:val="00B635B4"/>
    <w:rsid w:val="00B64FC9"/>
    <w:rsid w:val="00B654D5"/>
    <w:rsid w:val="00B67235"/>
    <w:rsid w:val="00B67D0F"/>
    <w:rsid w:val="00B700F3"/>
    <w:rsid w:val="00B703E8"/>
    <w:rsid w:val="00B728A4"/>
    <w:rsid w:val="00B73C03"/>
    <w:rsid w:val="00B73CD2"/>
    <w:rsid w:val="00B750B0"/>
    <w:rsid w:val="00B755AE"/>
    <w:rsid w:val="00B76422"/>
    <w:rsid w:val="00B76517"/>
    <w:rsid w:val="00B76588"/>
    <w:rsid w:val="00B76A12"/>
    <w:rsid w:val="00B76B98"/>
    <w:rsid w:val="00B77AD0"/>
    <w:rsid w:val="00B819A6"/>
    <w:rsid w:val="00B81ECE"/>
    <w:rsid w:val="00B82756"/>
    <w:rsid w:val="00B82DE4"/>
    <w:rsid w:val="00B83D99"/>
    <w:rsid w:val="00B84C08"/>
    <w:rsid w:val="00B85391"/>
    <w:rsid w:val="00B85EE9"/>
    <w:rsid w:val="00B86114"/>
    <w:rsid w:val="00B86149"/>
    <w:rsid w:val="00B863F8"/>
    <w:rsid w:val="00B86932"/>
    <w:rsid w:val="00B86A49"/>
    <w:rsid w:val="00B87C59"/>
    <w:rsid w:val="00B87C74"/>
    <w:rsid w:val="00B906D1"/>
    <w:rsid w:val="00B91476"/>
    <w:rsid w:val="00B9202C"/>
    <w:rsid w:val="00B92E1B"/>
    <w:rsid w:val="00B932BF"/>
    <w:rsid w:val="00B93318"/>
    <w:rsid w:val="00B938DE"/>
    <w:rsid w:val="00B945CC"/>
    <w:rsid w:val="00B96877"/>
    <w:rsid w:val="00B97327"/>
    <w:rsid w:val="00BA115F"/>
    <w:rsid w:val="00BA1BA5"/>
    <w:rsid w:val="00BA2E19"/>
    <w:rsid w:val="00BA429B"/>
    <w:rsid w:val="00BA6C29"/>
    <w:rsid w:val="00BA7CFB"/>
    <w:rsid w:val="00BB12C7"/>
    <w:rsid w:val="00BB15CE"/>
    <w:rsid w:val="00BB1D4B"/>
    <w:rsid w:val="00BB272F"/>
    <w:rsid w:val="00BB2C9D"/>
    <w:rsid w:val="00BB3900"/>
    <w:rsid w:val="00BB45FF"/>
    <w:rsid w:val="00BB48A4"/>
    <w:rsid w:val="00BB7282"/>
    <w:rsid w:val="00BB7921"/>
    <w:rsid w:val="00BC017B"/>
    <w:rsid w:val="00BC22B6"/>
    <w:rsid w:val="00BC4C81"/>
    <w:rsid w:val="00BC55CC"/>
    <w:rsid w:val="00BC5BAF"/>
    <w:rsid w:val="00BC5E38"/>
    <w:rsid w:val="00BC6115"/>
    <w:rsid w:val="00BC711D"/>
    <w:rsid w:val="00BC73FE"/>
    <w:rsid w:val="00BC7530"/>
    <w:rsid w:val="00BD1FD8"/>
    <w:rsid w:val="00BD27C2"/>
    <w:rsid w:val="00BD3AF0"/>
    <w:rsid w:val="00BD3E98"/>
    <w:rsid w:val="00BD45E3"/>
    <w:rsid w:val="00BD5460"/>
    <w:rsid w:val="00BD59D2"/>
    <w:rsid w:val="00BD76E9"/>
    <w:rsid w:val="00BD781D"/>
    <w:rsid w:val="00BD7CF9"/>
    <w:rsid w:val="00BE02E7"/>
    <w:rsid w:val="00BE0C24"/>
    <w:rsid w:val="00BE0EEC"/>
    <w:rsid w:val="00BE185F"/>
    <w:rsid w:val="00BE1AD0"/>
    <w:rsid w:val="00BE2F6C"/>
    <w:rsid w:val="00BE31BA"/>
    <w:rsid w:val="00BE32E3"/>
    <w:rsid w:val="00BE3618"/>
    <w:rsid w:val="00BE3BA4"/>
    <w:rsid w:val="00BE3DD2"/>
    <w:rsid w:val="00BE46DC"/>
    <w:rsid w:val="00BE46E1"/>
    <w:rsid w:val="00BE4FE5"/>
    <w:rsid w:val="00BE5217"/>
    <w:rsid w:val="00BE64D9"/>
    <w:rsid w:val="00BE6A5E"/>
    <w:rsid w:val="00BE795C"/>
    <w:rsid w:val="00BF0275"/>
    <w:rsid w:val="00BF0C30"/>
    <w:rsid w:val="00BF125D"/>
    <w:rsid w:val="00BF229A"/>
    <w:rsid w:val="00BF242D"/>
    <w:rsid w:val="00BF363C"/>
    <w:rsid w:val="00BF3A7A"/>
    <w:rsid w:val="00BF4AE2"/>
    <w:rsid w:val="00BF4B12"/>
    <w:rsid w:val="00BF70DC"/>
    <w:rsid w:val="00C00B90"/>
    <w:rsid w:val="00C010E7"/>
    <w:rsid w:val="00C02BB7"/>
    <w:rsid w:val="00C105B8"/>
    <w:rsid w:val="00C11B69"/>
    <w:rsid w:val="00C13039"/>
    <w:rsid w:val="00C151CB"/>
    <w:rsid w:val="00C153E7"/>
    <w:rsid w:val="00C157DA"/>
    <w:rsid w:val="00C163D4"/>
    <w:rsid w:val="00C17A3C"/>
    <w:rsid w:val="00C206D9"/>
    <w:rsid w:val="00C238F8"/>
    <w:rsid w:val="00C26A13"/>
    <w:rsid w:val="00C300F9"/>
    <w:rsid w:val="00C30157"/>
    <w:rsid w:val="00C3041E"/>
    <w:rsid w:val="00C31D7A"/>
    <w:rsid w:val="00C33568"/>
    <w:rsid w:val="00C34FA1"/>
    <w:rsid w:val="00C3612E"/>
    <w:rsid w:val="00C36450"/>
    <w:rsid w:val="00C37619"/>
    <w:rsid w:val="00C376A1"/>
    <w:rsid w:val="00C40CFC"/>
    <w:rsid w:val="00C41B2A"/>
    <w:rsid w:val="00C4355E"/>
    <w:rsid w:val="00C43BA8"/>
    <w:rsid w:val="00C446ED"/>
    <w:rsid w:val="00C468E0"/>
    <w:rsid w:val="00C50764"/>
    <w:rsid w:val="00C50850"/>
    <w:rsid w:val="00C50B9D"/>
    <w:rsid w:val="00C511F7"/>
    <w:rsid w:val="00C51D4A"/>
    <w:rsid w:val="00C52CE8"/>
    <w:rsid w:val="00C53066"/>
    <w:rsid w:val="00C53338"/>
    <w:rsid w:val="00C5394F"/>
    <w:rsid w:val="00C53A48"/>
    <w:rsid w:val="00C54303"/>
    <w:rsid w:val="00C54806"/>
    <w:rsid w:val="00C56109"/>
    <w:rsid w:val="00C57655"/>
    <w:rsid w:val="00C57DF5"/>
    <w:rsid w:val="00C60556"/>
    <w:rsid w:val="00C62C62"/>
    <w:rsid w:val="00C63205"/>
    <w:rsid w:val="00C63373"/>
    <w:rsid w:val="00C64381"/>
    <w:rsid w:val="00C64445"/>
    <w:rsid w:val="00C64B18"/>
    <w:rsid w:val="00C65A1E"/>
    <w:rsid w:val="00C65AC0"/>
    <w:rsid w:val="00C65DE4"/>
    <w:rsid w:val="00C667E0"/>
    <w:rsid w:val="00C6708C"/>
    <w:rsid w:val="00C719A9"/>
    <w:rsid w:val="00C720AA"/>
    <w:rsid w:val="00C72275"/>
    <w:rsid w:val="00C7231E"/>
    <w:rsid w:val="00C737F8"/>
    <w:rsid w:val="00C73CF8"/>
    <w:rsid w:val="00C75690"/>
    <w:rsid w:val="00C756AC"/>
    <w:rsid w:val="00C75899"/>
    <w:rsid w:val="00C76AA2"/>
    <w:rsid w:val="00C77926"/>
    <w:rsid w:val="00C77D07"/>
    <w:rsid w:val="00C8110E"/>
    <w:rsid w:val="00C82241"/>
    <w:rsid w:val="00C83010"/>
    <w:rsid w:val="00C83269"/>
    <w:rsid w:val="00C83F61"/>
    <w:rsid w:val="00C842A6"/>
    <w:rsid w:val="00C85FBA"/>
    <w:rsid w:val="00C868BA"/>
    <w:rsid w:val="00C8764F"/>
    <w:rsid w:val="00C87CF4"/>
    <w:rsid w:val="00C901DE"/>
    <w:rsid w:val="00C90AE0"/>
    <w:rsid w:val="00C915BB"/>
    <w:rsid w:val="00C919DA"/>
    <w:rsid w:val="00C94A81"/>
    <w:rsid w:val="00C94BEA"/>
    <w:rsid w:val="00C955E0"/>
    <w:rsid w:val="00C97C8E"/>
    <w:rsid w:val="00CA0818"/>
    <w:rsid w:val="00CA0C12"/>
    <w:rsid w:val="00CA0DF1"/>
    <w:rsid w:val="00CA30B2"/>
    <w:rsid w:val="00CA41F4"/>
    <w:rsid w:val="00CA4657"/>
    <w:rsid w:val="00CA4DFA"/>
    <w:rsid w:val="00CA5C6C"/>
    <w:rsid w:val="00CA5F79"/>
    <w:rsid w:val="00CA6056"/>
    <w:rsid w:val="00CB0409"/>
    <w:rsid w:val="00CB05FA"/>
    <w:rsid w:val="00CB0D6C"/>
    <w:rsid w:val="00CB1FD7"/>
    <w:rsid w:val="00CB2874"/>
    <w:rsid w:val="00CB296A"/>
    <w:rsid w:val="00CB39BB"/>
    <w:rsid w:val="00CB4DFB"/>
    <w:rsid w:val="00CB79F9"/>
    <w:rsid w:val="00CB7E7C"/>
    <w:rsid w:val="00CC0023"/>
    <w:rsid w:val="00CC0818"/>
    <w:rsid w:val="00CC1CFB"/>
    <w:rsid w:val="00CC46C2"/>
    <w:rsid w:val="00CC498E"/>
    <w:rsid w:val="00CC6392"/>
    <w:rsid w:val="00CC6A60"/>
    <w:rsid w:val="00CC6DDB"/>
    <w:rsid w:val="00CD11D5"/>
    <w:rsid w:val="00CD1765"/>
    <w:rsid w:val="00CD18E3"/>
    <w:rsid w:val="00CD566D"/>
    <w:rsid w:val="00CD6D96"/>
    <w:rsid w:val="00CE1283"/>
    <w:rsid w:val="00CE1C3E"/>
    <w:rsid w:val="00CE47A6"/>
    <w:rsid w:val="00CE4D98"/>
    <w:rsid w:val="00CE5D60"/>
    <w:rsid w:val="00CE69C6"/>
    <w:rsid w:val="00CF1DEF"/>
    <w:rsid w:val="00CF3182"/>
    <w:rsid w:val="00CF39F8"/>
    <w:rsid w:val="00CF4C4A"/>
    <w:rsid w:val="00CF62C0"/>
    <w:rsid w:val="00CF68DB"/>
    <w:rsid w:val="00CF6C8C"/>
    <w:rsid w:val="00CF6D16"/>
    <w:rsid w:val="00CF7FCF"/>
    <w:rsid w:val="00D01417"/>
    <w:rsid w:val="00D01A14"/>
    <w:rsid w:val="00D02124"/>
    <w:rsid w:val="00D0303D"/>
    <w:rsid w:val="00D04E74"/>
    <w:rsid w:val="00D068D3"/>
    <w:rsid w:val="00D070DF"/>
    <w:rsid w:val="00D104C5"/>
    <w:rsid w:val="00D10D51"/>
    <w:rsid w:val="00D11511"/>
    <w:rsid w:val="00D120F9"/>
    <w:rsid w:val="00D13A9B"/>
    <w:rsid w:val="00D14A97"/>
    <w:rsid w:val="00D14AFB"/>
    <w:rsid w:val="00D1535A"/>
    <w:rsid w:val="00D15D9C"/>
    <w:rsid w:val="00D16290"/>
    <w:rsid w:val="00D17227"/>
    <w:rsid w:val="00D20947"/>
    <w:rsid w:val="00D217B4"/>
    <w:rsid w:val="00D21C5E"/>
    <w:rsid w:val="00D237E0"/>
    <w:rsid w:val="00D2522D"/>
    <w:rsid w:val="00D262BF"/>
    <w:rsid w:val="00D27ACF"/>
    <w:rsid w:val="00D30C33"/>
    <w:rsid w:val="00D312DA"/>
    <w:rsid w:val="00D315F2"/>
    <w:rsid w:val="00D31C56"/>
    <w:rsid w:val="00D31C93"/>
    <w:rsid w:val="00D33054"/>
    <w:rsid w:val="00D33E4A"/>
    <w:rsid w:val="00D3478C"/>
    <w:rsid w:val="00D354E1"/>
    <w:rsid w:val="00D359B7"/>
    <w:rsid w:val="00D35EC5"/>
    <w:rsid w:val="00D37DC9"/>
    <w:rsid w:val="00D409C0"/>
    <w:rsid w:val="00D410D8"/>
    <w:rsid w:val="00D41B13"/>
    <w:rsid w:val="00D41F1F"/>
    <w:rsid w:val="00D42F9D"/>
    <w:rsid w:val="00D44086"/>
    <w:rsid w:val="00D44407"/>
    <w:rsid w:val="00D45AC5"/>
    <w:rsid w:val="00D45D6D"/>
    <w:rsid w:val="00D476A2"/>
    <w:rsid w:val="00D502F1"/>
    <w:rsid w:val="00D504AD"/>
    <w:rsid w:val="00D525D5"/>
    <w:rsid w:val="00D5330C"/>
    <w:rsid w:val="00D53AF5"/>
    <w:rsid w:val="00D542B5"/>
    <w:rsid w:val="00D54A1A"/>
    <w:rsid w:val="00D54ED3"/>
    <w:rsid w:val="00D55EF0"/>
    <w:rsid w:val="00D56C2A"/>
    <w:rsid w:val="00D56C9F"/>
    <w:rsid w:val="00D56F6D"/>
    <w:rsid w:val="00D60C12"/>
    <w:rsid w:val="00D630B8"/>
    <w:rsid w:val="00D65AA1"/>
    <w:rsid w:val="00D65EF0"/>
    <w:rsid w:val="00D673CD"/>
    <w:rsid w:val="00D720A1"/>
    <w:rsid w:val="00D73970"/>
    <w:rsid w:val="00D739FB"/>
    <w:rsid w:val="00D770DB"/>
    <w:rsid w:val="00D77B2F"/>
    <w:rsid w:val="00D803BE"/>
    <w:rsid w:val="00D80AE9"/>
    <w:rsid w:val="00D827A4"/>
    <w:rsid w:val="00D83532"/>
    <w:rsid w:val="00D83AE1"/>
    <w:rsid w:val="00D83D09"/>
    <w:rsid w:val="00D843A1"/>
    <w:rsid w:val="00D843A7"/>
    <w:rsid w:val="00D84DE6"/>
    <w:rsid w:val="00D9022A"/>
    <w:rsid w:val="00D909B6"/>
    <w:rsid w:val="00D92E8D"/>
    <w:rsid w:val="00D93857"/>
    <w:rsid w:val="00D96378"/>
    <w:rsid w:val="00D97A15"/>
    <w:rsid w:val="00DA0011"/>
    <w:rsid w:val="00DA020E"/>
    <w:rsid w:val="00DA06D1"/>
    <w:rsid w:val="00DA12FB"/>
    <w:rsid w:val="00DA3A53"/>
    <w:rsid w:val="00DA4233"/>
    <w:rsid w:val="00DA5CAE"/>
    <w:rsid w:val="00DA5D4F"/>
    <w:rsid w:val="00DA6568"/>
    <w:rsid w:val="00DA6B7A"/>
    <w:rsid w:val="00DB071C"/>
    <w:rsid w:val="00DB089D"/>
    <w:rsid w:val="00DB19A6"/>
    <w:rsid w:val="00DB20B6"/>
    <w:rsid w:val="00DB2679"/>
    <w:rsid w:val="00DB270E"/>
    <w:rsid w:val="00DB2E7F"/>
    <w:rsid w:val="00DB67B4"/>
    <w:rsid w:val="00DB6D8E"/>
    <w:rsid w:val="00DB7EA9"/>
    <w:rsid w:val="00DB7FE7"/>
    <w:rsid w:val="00DC1C01"/>
    <w:rsid w:val="00DC25C0"/>
    <w:rsid w:val="00DC5F74"/>
    <w:rsid w:val="00DD0C76"/>
    <w:rsid w:val="00DD1918"/>
    <w:rsid w:val="00DD2C5A"/>
    <w:rsid w:val="00DD3F34"/>
    <w:rsid w:val="00DD46FB"/>
    <w:rsid w:val="00DD57A4"/>
    <w:rsid w:val="00DD6840"/>
    <w:rsid w:val="00DD6C13"/>
    <w:rsid w:val="00DD6E2C"/>
    <w:rsid w:val="00DD7112"/>
    <w:rsid w:val="00DD7E46"/>
    <w:rsid w:val="00DD7ED4"/>
    <w:rsid w:val="00DE2AC3"/>
    <w:rsid w:val="00DE2CE9"/>
    <w:rsid w:val="00DE4128"/>
    <w:rsid w:val="00DE4B06"/>
    <w:rsid w:val="00DE55D5"/>
    <w:rsid w:val="00DE5785"/>
    <w:rsid w:val="00DE7EA8"/>
    <w:rsid w:val="00DF0D6E"/>
    <w:rsid w:val="00DF2818"/>
    <w:rsid w:val="00DF36AD"/>
    <w:rsid w:val="00DF4927"/>
    <w:rsid w:val="00DF4FB4"/>
    <w:rsid w:val="00DF4FF8"/>
    <w:rsid w:val="00DF5ED3"/>
    <w:rsid w:val="00DF6206"/>
    <w:rsid w:val="00DF6629"/>
    <w:rsid w:val="00DF74B2"/>
    <w:rsid w:val="00E01B6A"/>
    <w:rsid w:val="00E020F6"/>
    <w:rsid w:val="00E0296A"/>
    <w:rsid w:val="00E02CF8"/>
    <w:rsid w:val="00E03E91"/>
    <w:rsid w:val="00E04519"/>
    <w:rsid w:val="00E05749"/>
    <w:rsid w:val="00E05E7F"/>
    <w:rsid w:val="00E06A84"/>
    <w:rsid w:val="00E104C6"/>
    <w:rsid w:val="00E10626"/>
    <w:rsid w:val="00E112DA"/>
    <w:rsid w:val="00E121C2"/>
    <w:rsid w:val="00E137FD"/>
    <w:rsid w:val="00E14D99"/>
    <w:rsid w:val="00E17429"/>
    <w:rsid w:val="00E20C28"/>
    <w:rsid w:val="00E2167C"/>
    <w:rsid w:val="00E21F25"/>
    <w:rsid w:val="00E225AC"/>
    <w:rsid w:val="00E23180"/>
    <w:rsid w:val="00E23208"/>
    <w:rsid w:val="00E24A63"/>
    <w:rsid w:val="00E24A86"/>
    <w:rsid w:val="00E250FC"/>
    <w:rsid w:val="00E26C1A"/>
    <w:rsid w:val="00E33917"/>
    <w:rsid w:val="00E33A6E"/>
    <w:rsid w:val="00E34847"/>
    <w:rsid w:val="00E34A87"/>
    <w:rsid w:val="00E34C2E"/>
    <w:rsid w:val="00E36E23"/>
    <w:rsid w:val="00E40237"/>
    <w:rsid w:val="00E40841"/>
    <w:rsid w:val="00E42DB8"/>
    <w:rsid w:val="00E430DE"/>
    <w:rsid w:val="00E43172"/>
    <w:rsid w:val="00E44206"/>
    <w:rsid w:val="00E44A0B"/>
    <w:rsid w:val="00E46463"/>
    <w:rsid w:val="00E464E7"/>
    <w:rsid w:val="00E46D09"/>
    <w:rsid w:val="00E46F5F"/>
    <w:rsid w:val="00E4739C"/>
    <w:rsid w:val="00E50B67"/>
    <w:rsid w:val="00E53804"/>
    <w:rsid w:val="00E55398"/>
    <w:rsid w:val="00E55A3C"/>
    <w:rsid w:val="00E55BD4"/>
    <w:rsid w:val="00E56E44"/>
    <w:rsid w:val="00E573D9"/>
    <w:rsid w:val="00E60C83"/>
    <w:rsid w:val="00E60FA4"/>
    <w:rsid w:val="00E646C6"/>
    <w:rsid w:val="00E6519C"/>
    <w:rsid w:val="00E6579F"/>
    <w:rsid w:val="00E65B0A"/>
    <w:rsid w:val="00E66884"/>
    <w:rsid w:val="00E679AB"/>
    <w:rsid w:val="00E70120"/>
    <w:rsid w:val="00E70F5C"/>
    <w:rsid w:val="00E716E1"/>
    <w:rsid w:val="00E71E4E"/>
    <w:rsid w:val="00E7262F"/>
    <w:rsid w:val="00E731A4"/>
    <w:rsid w:val="00E73861"/>
    <w:rsid w:val="00E73EBB"/>
    <w:rsid w:val="00E754F4"/>
    <w:rsid w:val="00E76399"/>
    <w:rsid w:val="00E7754B"/>
    <w:rsid w:val="00E802C7"/>
    <w:rsid w:val="00E827B1"/>
    <w:rsid w:val="00E84AC0"/>
    <w:rsid w:val="00E859BF"/>
    <w:rsid w:val="00E85C03"/>
    <w:rsid w:val="00E85D47"/>
    <w:rsid w:val="00E863DD"/>
    <w:rsid w:val="00E87E01"/>
    <w:rsid w:val="00E90049"/>
    <w:rsid w:val="00E93C37"/>
    <w:rsid w:val="00E94DC8"/>
    <w:rsid w:val="00E96075"/>
    <w:rsid w:val="00E974F6"/>
    <w:rsid w:val="00EA0D40"/>
    <w:rsid w:val="00EA0F3B"/>
    <w:rsid w:val="00EA17A9"/>
    <w:rsid w:val="00EA4FA8"/>
    <w:rsid w:val="00EA6201"/>
    <w:rsid w:val="00EA67D5"/>
    <w:rsid w:val="00EB0DFA"/>
    <w:rsid w:val="00EB108E"/>
    <w:rsid w:val="00EB1AC9"/>
    <w:rsid w:val="00EB344C"/>
    <w:rsid w:val="00EB3A7D"/>
    <w:rsid w:val="00EB3A8C"/>
    <w:rsid w:val="00EB3FEE"/>
    <w:rsid w:val="00EB42C4"/>
    <w:rsid w:val="00EB4489"/>
    <w:rsid w:val="00EB587E"/>
    <w:rsid w:val="00EB60BA"/>
    <w:rsid w:val="00EB7886"/>
    <w:rsid w:val="00EC0797"/>
    <w:rsid w:val="00EC0F9B"/>
    <w:rsid w:val="00EC21C4"/>
    <w:rsid w:val="00EC24F1"/>
    <w:rsid w:val="00EC4481"/>
    <w:rsid w:val="00EC4C56"/>
    <w:rsid w:val="00EC59EF"/>
    <w:rsid w:val="00EC5C2F"/>
    <w:rsid w:val="00EC71EE"/>
    <w:rsid w:val="00ED017B"/>
    <w:rsid w:val="00ED4447"/>
    <w:rsid w:val="00ED5285"/>
    <w:rsid w:val="00ED59AC"/>
    <w:rsid w:val="00ED67D1"/>
    <w:rsid w:val="00ED6D7B"/>
    <w:rsid w:val="00ED738C"/>
    <w:rsid w:val="00ED7958"/>
    <w:rsid w:val="00EE1584"/>
    <w:rsid w:val="00EE1B9F"/>
    <w:rsid w:val="00EE3104"/>
    <w:rsid w:val="00EE323C"/>
    <w:rsid w:val="00EE3392"/>
    <w:rsid w:val="00EE3659"/>
    <w:rsid w:val="00EE46D5"/>
    <w:rsid w:val="00EE6B55"/>
    <w:rsid w:val="00EF051C"/>
    <w:rsid w:val="00EF1058"/>
    <w:rsid w:val="00EF127E"/>
    <w:rsid w:val="00EF1A3B"/>
    <w:rsid w:val="00EF2EC4"/>
    <w:rsid w:val="00EF3324"/>
    <w:rsid w:val="00EF4FD8"/>
    <w:rsid w:val="00EF53E4"/>
    <w:rsid w:val="00EF547D"/>
    <w:rsid w:val="00EF574E"/>
    <w:rsid w:val="00EF6398"/>
    <w:rsid w:val="00EF7358"/>
    <w:rsid w:val="00EF7466"/>
    <w:rsid w:val="00EF7C42"/>
    <w:rsid w:val="00EF7CBE"/>
    <w:rsid w:val="00F0035C"/>
    <w:rsid w:val="00F00EF3"/>
    <w:rsid w:val="00F021D6"/>
    <w:rsid w:val="00F043E3"/>
    <w:rsid w:val="00F046D8"/>
    <w:rsid w:val="00F054FD"/>
    <w:rsid w:val="00F06251"/>
    <w:rsid w:val="00F06AF3"/>
    <w:rsid w:val="00F06FF4"/>
    <w:rsid w:val="00F079E1"/>
    <w:rsid w:val="00F10A60"/>
    <w:rsid w:val="00F12457"/>
    <w:rsid w:val="00F1270D"/>
    <w:rsid w:val="00F144A5"/>
    <w:rsid w:val="00F1574A"/>
    <w:rsid w:val="00F16997"/>
    <w:rsid w:val="00F16AA8"/>
    <w:rsid w:val="00F17053"/>
    <w:rsid w:val="00F1749C"/>
    <w:rsid w:val="00F1752C"/>
    <w:rsid w:val="00F1753B"/>
    <w:rsid w:val="00F21123"/>
    <w:rsid w:val="00F2114C"/>
    <w:rsid w:val="00F2117C"/>
    <w:rsid w:val="00F21CBB"/>
    <w:rsid w:val="00F21FBA"/>
    <w:rsid w:val="00F22A5F"/>
    <w:rsid w:val="00F238A1"/>
    <w:rsid w:val="00F2583E"/>
    <w:rsid w:val="00F26B2D"/>
    <w:rsid w:val="00F26C02"/>
    <w:rsid w:val="00F272B4"/>
    <w:rsid w:val="00F279DA"/>
    <w:rsid w:val="00F27E0E"/>
    <w:rsid w:val="00F27FE7"/>
    <w:rsid w:val="00F27FFA"/>
    <w:rsid w:val="00F30980"/>
    <w:rsid w:val="00F30B94"/>
    <w:rsid w:val="00F31AD6"/>
    <w:rsid w:val="00F32E5E"/>
    <w:rsid w:val="00F33AC4"/>
    <w:rsid w:val="00F33B72"/>
    <w:rsid w:val="00F350D0"/>
    <w:rsid w:val="00F36A86"/>
    <w:rsid w:val="00F37A27"/>
    <w:rsid w:val="00F419C1"/>
    <w:rsid w:val="00F42700"/>
    <w:rsid w:val="00F43034"/>
    <w:rsid w:val="00F452DD"/>
    <w:rsid w:val="00F45790"/>
    <w:rsid w:val="00F51409"/>
    <w:rsid w:val="00F5158C"/>
    <w:rsid w:val="00F516BF"/>
    <w:rsid w:val="00F51AC2"/>
    <w:rsid w:val="00F5578E"/>
    <w:rsid w:val="00F56094"/>
    <w:rsid w:val="00F56DAE"/>
    <w:rsid w:val="00F5741C"/>
    <w:rsid w:val="00F5747C"/>
    <w:rsid w:val="00F57F97"/>
    <w:rsid w:val="00F616CA"/>
    <w:rsid w:val="00F61DFC"/>
    <w:rsid w:val="00F63190"/>
    <w:rsid w:val="00F6425A"/>
    <w:rsid w:val="00F6429F"/>
    <w:rsid w:val="00F65C54"/>
    <w:rsid w:val="00F65E35"/>
    <w:rsid w:val="00F6603A"/>
    <w:rsid w:val="00F666F9"/>
    <w:rsid w:val="00F66919"/>
    <w:rsid w:val="00F66D65"/>
    <w:rsid w:val="00F66E56"/>
    <w:rsid w:val="00F6762E"/>
    <w:rsid w:val="00F70959"/>
    <w:rsid w:val="00F71C64"/>
    <w:rsid w:val="00F7387F"/>
    <w:rsid w:val="00F74F58"/>
    <w:rsid w:val="00F75B78"/>
    <w:rsid w:val="00F75FFC"/>
    <w:rsid w:val="00F76F38"/>
    <w:rsid w:val="00F813DF"/>
    <w:rsid w:val="00F850B4"/>
    <w:rsid w:val="00F853E1"/>
    <w:rsid w:val="00F85811"/>
    <w:rsid w:val="00F862AE"/>
    <w:rsid w:val="00F86EFC"/>
    <w:rsid w:val="00F871AB"/>
    <w:rsid w:val="00F879F2"/>
    <w:rsid w:val="00F87FFD"/>
    <w:rsid w:val="00F95715"/>
    <w:rsid w:val="00F97D69"/>
    <w:rsid w:val="00FA0609"/>
    <w:rsid w:val="00FA2736"/>
    <w:rsid w:val="00FA29F9"/>
    <w:rsid w:val="00FA31C3"/>
    <w:rsid w:val="00FA53EB"/>
    <w:rsid w:val="00FA63CF"/>
    <w:rsid w:val="00FA6819"/>
    <w:rsid w:val="00FA6CAE"/>
    <w:rsid w:val="00FB2B77"/>
    <w:rsid w:val="00FB32BF"/>
    <w:rsid w:val="00FB37E2"/>
    <w:rsid w:val="00FB39CB"/>
    <w:rsid w:val="00FB5BFD"/>
    <w:rsid w:val="00FB5F58"/>
    <w:rsid w:val="00FC0ED6"/>
    <w:rsid w:val="00FC2548"/>
    <w:rsid w:val="00FC29FE"/>
    <w:rsid w:val="00FC3649"/>
    <w:rsid w:val="00FC48C3"/>
    <w:rsid w:val="00FC4EAF"/>
    <w:rsid w:val="00FC5FDA"/>
    <w:rsid w:val="00FC711C"/>
    <w:rsid w:val="00FD0B6D"/>
    <w:rsid w:val="00FD16D4"/>
    <w:rsid w:val="00FD35AD"/>
    <w:rsid w:val="00FD58EF"/>
    <w:rsid w:val="00FD69B4"/>
    <w:rsid w:val="00FD69D4"/>
    <w:rsid w:val="00FD6B1D"/>
    <w:rsid w:val="00FD6D06"/>
    <w:rsid w:val="00FE020C"/>
    <w:rsid w:val="00FE0258"/>
    <w:rsid w:val="00FE09CF"/>
    <w:rsid w:val="00FE0E41"/>
    <w:rsid w:val="00FE2184"/>
    <w:rsid w:val="00FE238D"/>
    <w:rsid w:val="00FE2BD1"/>
    <w:rsid w:val="00FE3102"/>
    <w:rsid w:val="00FE3D96"/>
    <w:rsid w:val="00FE4FDC"/>
    <w:rsid w:val="00FE5C63"/>
    <w:rsid w:val="00FE5F62"/>
    <w:rsid w:val="00FE779B"/>
    <w:rsid w:val="00FF0A90"/>
    <w:rsid w:val="00FF14D9"/>
    <w:rsid w:val="00FF17C2"/>
    <w:rsid w:val="00FF1A42"/>
    <w:rsid w:val="00FF1E8B"/>
    <w:rsid w:val="00FF2349"/>
    <w:rsid w:val="00FF23A5"/>
    <w:rsid w:val="00FF2BFF"/>
    <w:rsid w:val="00FF30CB"/>
    <w:rsid w:val="00FF47F4"/>
    <w:rsid w:val="00FF4979"/>
    <w:rsid w:val="00FF4D93"/>
    <w:rsid w:val="00FF5497"/>
    <w:rsid w:val="00FF5D9C"/>
    <w:rsid w:val="0151CCA9"/>
    <w:rsid w:val="01762FAA"/>
    <w:rsid w:val="01E6A49F"/>
    <w:rsid w:val="01FA7F2F"/>
    <w:rsid w:val="0229D454"/>
    <w:rsid w:val="02701E5B"/>
    <w:rsid w:val="02CF78DB"/>
    <w:rsid w:val="02E8AC7C"/>
    <w:rsid w:val="039E8006"/>
    <w:rsid w:val="03C63378"/>
    <w:rsid w:val="0460D428"/>
    <w:rsid w:val="04A8FDA0"/>
    <w:rsid w:val="052BD0D0"/>
    <w:rsid w:val="058C9771"/>
    <w:rsid w:val="0599FB9C"/>
    <w:rsid w:val="065A6843"/>
    <w:rsid w:val="065EE7E7"/>
    <w:rsid w:val="069B5438"/>
    <w:rsid w:val="06ACE40D"/>
    <w:rsid w:val="06AF1D14"/>
    <w:rsid w:val="07B7F4B5"/>
    <w:rsid w:val="07CF6BA6"/>
    <w:rsid w:val="0980AE2F"/>
    <w:rsid w:val="099967B6"/>
    <w:rsid w:val="09F2FAFA"/>
    <w:rsid w:val="0A27A7EE"/>
    <w:rsid w:val="0A9C71D4"/>
    <w:rsid w:val="0AFCB62C"/>
    <w:rsid w:val="0B3216A2"/>
    <w:rsid w:val="0B5DF43C"/>
    <w:rsid w:val="0B7C2F2A"/>
    <w:rsid w:val="0CE6E918"/>
    <w:rsid w:val="0CF0E761"/>
    <w:rsid w:val="0CFA387F"/>
    <w:rsid w:val="0D5CABD9"/>
    <w:rsid w:val="0D865EF2"/>
    <w:rsid w:val="0E59D8D8"/>
    <w:rsid w:val="0F68391E"/>
    <w:rsid w:val="0F70415F"/>
    <w:rsid w:val="0F9E7250"/>
    <w:rsid w:val="0FCC4898"/>
    <w:rsid w:val="0FD1AB55"/>
    <w:rsid w:val="0FDB0F9A"/>
    <w:rsid w:val="102D4F17"/>
    <w:rsid w:val="10A1D716"/>
    <w:rsid w:val="10DEC391"/>
    <w:rsid w:val="10DF149C"/>
    <w:rsid w:val="110B874A"/>
    <w:rsid w:val="1148F382"/>
    <w:rsid w:val="1182CA7E"/>
    <w:rsid w:val="119885F2"/>
    <w:rsid w:val="128C5C2E"/>
    <w:rsid w:val="13683A89"/>
    <w:rsid w:val="1413FE47"/>
    <w:rsid w:val="143C0EE4"/>
    <w:rsid w:val="145D7E24"/>
    <w:rsid w:val="14858502"/>
    <w:rsid w:val="14B15D81"/>
    <w:rsid w:val="14EC14F6"/>
    <w:rsid w:val="15667FCF"/>
    <w:rsid w:val="157DBEEB"/>
    <w:rsid w:val="1599AC1D"/>
    <w:rsid w:val="159E4879"/>
    <w:rsid w:val="1610CF69"/>
    <w:rsid w:val="16197B59"/>
    <w:rsid w:val="1682511F"/>
    <w:rsid w:val="16C36C23"/>
    <w:rsid w:val="1729114D"/>
    <w:rsid w:val="1790F9AC"/>
    <w:rsid w:val="1794CFBD"/>
    <w:rsid w:val="17AD77C9"/>
    <w:rsid w:val="17BC3AF8"/>
    <w:rsid w:val="1864AB32"/>
    <w:rsid w:val="196E993D"/>
    <w:rsid w:val="1985F80F"/>
    <w:rsid w:val="199445C7"/>
    <w:rsid w:val="19BA339E"/>
    <w:rsid w:val="1A46C533"/>
    <w:rsid w:val="1A9FBFD5"/>
    <w:rsid w:val="1B17AC60"/>
    <w:rsid w:val="1B8922F6"/>
    <w:rsid w:val="1C0C57C8"/>
    <w:rsid w:val="1CE06E28"/>
    <w:rsid w:val="1D5C2C19"/>
    <w:rsid w:val="1DFD6381"/>
    <w:rsid w:val="1E5D1E66"/>
    <w:rsid w:val="1E7AAD62"/>
    <w:rsid w:val="1EAC85A9"/>
    <w:rsid w:val="206E2C03"/>
    <w:rsid w:val="2095B7A0"/>
    <w:rsid w:val="20A44B88"/>
    <w:rsid w:val="20ECD21D"/>
    <w:rsid w:val="216FA962"/>
    <w:rsid w:val="2185F46C"/>
    <w:rsid w:val="21C30C6E"/>
    <w:rsid w:val="21DAD076"/>
    <w:rsid w:val="21E8A12C"/>
    <w:rsid w:val="21F1FAD9"/>
    <w:rsid w:val="22043B68"/>
    <w:rsid w:val="22900F66"/>
    <w:rsid w:val="22D4F592"/>
    <w:rsid w:val="22E0B960"/>
    <w:rsid w:val="230E70FC"/>
    <w:rsid w:val="23E1B29F"/>
    <w:rsid w:val="2413B1C6"/>
    <w:rsid w:val="24739401"/>
    <w:rsid w:val="2516A364"/>
    <w:rsid w:val="25483158"/>
    <w:rsid w:val="256B1017"/>
    <w:rsid w:val="26BB8B0A"/>
    <w:rsid w:val="27C29CB1"/>
    <w:rsid w:val="2812818A"/>
    <w:rsid w:val="282E1945"/>
    <w:rsid w:val="28F2770C"/>
    <w:rsid w:val="29137337"/>
    <w:rsid w:val="29D496DA"/>
    <w:rsid w:val="29E86C05"/>
    <w:rsid w:val="2A191E35"/>
    <w:rsid w:val="2A5505F6"/>
    <w:rsid w:val="2B3A8BAC"/>
    <w:rsid w:val="2B6526A7"/>
    <w:rsid w:val="2B876AA9"/>
    <w:rsid w:val="2BF50211"/>
    <w:rsid w:val="2C03B1D1"/>
    <w:rsid w:val="2C7FFE03"/>
    <w:rsid w:val="2C879BA6"/>
    <w:rsid w:val="2CE3B9EE"/>
    <w:rsid w:val="2D0EF037"/>
    <w:rsid w:val="2D3456CF"/>
    <w:rsid w:val="2D735F05"/>
    <w:rsid w:val="2DDF3845"/>
    <w:rsid w:val="2E1E1990"/>
    <w:rsid w:val="2E2B238E"/>
    <w:rsid w:val="2EE244ED"/>
    <w:rsid w:val="2F20E3F3"/>
    <w:rsid w:val="2F3A8C98"/>
    <w:rsid w:val="2F7D1A13"/>
    <w:rsid w:val="2F98F1D1"/>
    <w:rsid w:val="2FAC40CB"/>
    <w:rsid w:val="2FFA0320"/>
    <w:rsid w:val="307A9F94"/>
    <w:rsid w:val="31632F7D"/>
    <w:rsid w:val="317A54F3"/>
    <w:rsid w:val="31B108A0"/>
    <w:rsid w:val="31E4B92B"/>
    <w:rsid w:val="31FF296E"/>
    <w:rsid w:val="3207C7F2"/>
    <w:rsid w:val="3245B441"/>
    <w:rsid w:val="3281A8EE"/>
    <w:rsid w:val="32F5FA75"/>
    <w:rsid w:val="3331A3E2"/>
    <w:rsid w:val="3389527C"/>
    <w:rsid w:val="339095C6"/>
    <w:rsid w:val="33A3D026"/>
    <w:rsid w:val="33FD061A"/>
    <w:rsid w:val="3485BEDF"/>
    <w:rsid w:val="34B9EE85"/>
    <w:rsid w:val="34CD7443"/>
    <w:rsid w:val="34ED28E5"/>
    <w:rsid w:val="357D5503"/>
    <w:rsid w:val="3588C059"/>
    <w:rsid w:val="35978EE0"/>
    <w:rsid w:val="3636FC25"/>
    <w:rsid w:val="366D196E"/>
    <w:rsid w:val="367E3026"/>
    <w:rsid w:val="36C1D4CE"/>
    <w:rsid w:val="36E82CB0"/>
    <w:rsid w:val="3760A913"/>
    <w:rsid w:val="3816DB67"/>
    <w:rsid w:val="38392695"/>
    <w:rsid w:val="3857FB4D"/>
    <w:rsid w:val="386A8849"/>
    <w:rsid w:val="38A1062D"/>
    <w:rsid w:val="38BB6E50"/>
    <w:rsid w:val="39316D36"/>
    <w:rsid w:val="396DD0BA"/>
    <w:rsid w:val="396E0C34"/>
    <w:rsid w:val="39B5D588"/>
    <w:rsid w:val="3A0183BD"/>
    <w:rsid w:val="3A78E3C2"/>
    <w:rsid w:val="3A98A36D"/>
    <w:rsid w:val="3AC3FA37"/>
    <w:rsid w:val="3AD00475"/>
    <w:rsid w:val="3C00A816"/>
    <w:rsid w:val="3C05FA5D"/>
    <w:rsid w:val="3C3165CA"/>
    <w:rsid w:val="3C846D4D"/>
    <w:rsid w:val="3C936A44"/>
    <w:rsid w:val="3D5A91C5"/>
    <w:rsid w:val="3DAF75E3"/>
    <w:rsid w:val="3EA60233"/>
    <w:rsid w:val="3ECDE4AA"/>
    <w:rsid w:val="3F21BC64"/>
    <w:rsid w:val="3F466F3A"/>
    <w:rsid w:val="3F9FA14E"/>
    <w:rsid w:val="3FC69527"/>
    <w:rsid w:val="403A8004"/>
    <w:rsid w:val="405E449B"/>
    <w:rsid w:val="4062088F"/>
    <w:rsid w:val="40D5FFC7"/>
    <w:rsid w:val="40F1638D"/>
    <w:rsid w:val="41719F59"/>
    <w:rsid w:val="418BF712"/>
    <w:rsid w:val="41B25ED9"/>
    <w:rsid w:val="424C269C"/>
    <w:rsid w:val="42E906CC"/>
    <w:rsid w:val="43166230"/>
    <w:rsid w:val="4370ED4F"/>
    <w:rsid w:val="43816A00"/>
    <w:rsid w:val="43CB7C06"/>
    <w:rsid w:val="44621609"/>
    <w:rsid w:val="44EB6B5F"/>
    <w:rsid w:val="45840BB1"/>
    <w:rsid w:val="45D40B31"/>
    <w:rsid w:val="464C8F3C"/>
    <w:rsid w:val="4650C8DE"/>
    <w:rsid w:val="4669E9E9"/>
    <w:rsid w:val="468B170B"/>
    <w:rsid w:val="468F9AF7"/>
    <w:rsid w:val="46EB40C4"/>
    <w:rsid w:val="477E6DAB"/>
    <w:rsid w:val="47AAF22C"/>
    <w:rsid w:val="47DD6E9F"/>
    <w:rsid w:val="47E85F9D"/>
    <w:rsid w:val="47F564AB"/>
    <w:rsid w:val="48CF2027"/>
    <w:rsid w:val="48DBA126"/>
    <w:rsid w:val="48DC2290"/>
    <w:rsid w:val="49842FFE"/>
    <w:rsid w:val="4A151EB1"/>
    <w:rsid w:val="4A30D501"/>
    <w:rsid w:val="4A91A3C6"/>
    <w:rsid w:val="4AABECD9"/>
    <w:rsid w:val="4B003EE9"/>
    <w:rsid w:val="4B0C9275"/>
    <w:rsid w:val="4BA3E15C"/>
    <w:rsid w:val="4BCAF335"/>
    <w:rsid w:val="4BCCDF67"/>
    <w:rsid w:val="4C08ADAF"/>
    <w:rsid w:val="4C122086"/>
    <w:rsid w:val="4CA77A3B"/>
    <w:rsid w:val="4CB23653"/>
    <w:rsid w:val="4D06B7E3"/>
    <w:rsid w:val="4D194994"/>
    <w:rsid w:val="4D3849AD"/>
    <w:rsid w:val="4D4EC132"/>
    <w:rsid w:val="4D831900"/>
    <w:rsid w:val="4D896E69"/>
    <w:rsid w:val="4E41BE60"/>
    <w:rsid w:val="4E890285"/>
    <w:rsid w:val="4EB519F5"/>
    <w:rsid w:val="4ECC98DC"/>
    <w:rsid w:val="4ED33897"/>
    <w:rsid w:val="4F151271"/>
    <w:rsid w:val="4F6514E9"/>
    <w:rsid w:val="4FC88E8E"/>
    <w:rsid w:val="50D7DA3D"/>
    <w:rsid w:val="5106D046"/>
    <w:rsid w:val="51757EB1"/>
    <w:rsid w:val="519A45F0"/>
    <w:rsid w:val="5252EAD3"/>
    <w:rsid w:val="52A45C98"/>
    <w:rsid w:val="52D7A5CB"/>
    <w:rsid w:val="531B62FF"/>
    <w:rsid w:val="535CB0FD"/>
    <w:rsid w:val="53A95F9B"/>
    <w:rsid w:val="5437C988"/>
    <w:rsid w:val="546E5EF2"/>
    <w:rsid w:val="5476DD92"/>
    <w:rsid w:val="5481B752"/>
    <w:rsid w:val="54C586CF"/>
    <w:rsid w:val="54DB50AA"/>
    <w:rsid w:val="55260DE3"/>
    <w:rsid w:val="55A17D3B"/>
    <w:rsid w:val="56B2BBB7"/>
    <w:rsid w:val="56D62072"/>
    <w:rsid w:val="573A0DD1"/>
    <w:rsid w:val="57E9291E"/>
    <w:rsid w:val="57FA8CC5"/>
    <w:rsid w:val="5815CD29"/>
    <w:rsid w:val="5832D9A2"/>
    <w:rsid w:val="583C3AC1"/>
    <w:rsid w:val="58459F47"/>
    <w:rsid w:val="5849D79A"/>
    <w:rsid w:val="5888FA2B"/>
    <w:rsid w:val="5888FDB0"/>
    <w:rsid w:val="58BAA9CA"/>
    <w:rsid w:val="58CE5B8A"/>
    <w:rsid w:val="59888215"/>
    <w:rsid w:val="5AE3EA88"/>
    <w:rsid w:val="5BC636BA"/>
    <w:rsid w:val="5C7F8885"/>
    <w:rsid w:val="5CC62B9C"/>
    <w:rsid w:val="5D88F44F"/>
    <w:rsid w:val="5DE2F143"/>
    <w:rsid w:val="5DE76941"/>
    <w:rsid w:val="5E8713CF"/>
    <w:rsid w:val="5EBC4E78"/>
    <w:rsid w:val="5F175C1E"/>
    <w:rsid w:val="5F7356FF"/>
    <w:rsid w:val="5F7CA44B"/>
    <w:rsid w:val="5FAA8AE0"/>
    <w:rsid w:val="5FC7E08B"/>
    <w:rsid w:val="5FD36833"/>
    <w:rsid w:val="60D34E38"/>
    <w:rsid w:val="611426EB"/>
    <w:rsid w:val="619B0639"/>
    <w:rsid w:val="61CED75A"/>
    <w:rsid w:val="61F9F42B"/>
    <w:rsid w:val="626A4B47"/>
    <w:rsid w:val="62C38C46"/>
    <w:rsid w:val="6310CF7E"/>
    <w:rsid w:val="6341A54D"/>
    <w:rsid w:val="637FB8E5"/>
    <w:rsid w:val="6393EDDB"/>
    <w:rsid w:val="63F7A5A6"/>
    <w:rsid w:val="6409848A"/>
    <w:rsid w:val="6482FB87"/>
    <w:rsid w:val="64A7A2AA"/>
    <w:rsid w:val="64E60BC9"/>
    <w:rsid w:val="65677826"/>
    <w:rsid w:val="65864BE1"/>
    <w:rsid w:val="65E107E0"/>
    <w:rsid w:val="66091682"/>
    <w:rsid w:val="6658F0A5"/>
    <w:rsid w:val="66C53972"/>
    <w:rsid w:val="66D0DD99"/>
    <w:rsid w:val="66DA2BCF"/>
    <w:rsid w:val="66EA25C4"/>
    <w:rsid w:val="6724F508"/>
    <w:rsid w:val="6728F2C3"/>
    <w:rsid w:val="6732781A"/>
    <w:rsid w:val="688071FB"/>
    <w:rsid w:val="68F659C6"/>
    <w:rsid w:val="69205610"/>
    <w:rsid w:val="694AFE3D"/>
    <w:rsid w:val="696F13B4"/>
    <w:rsid w:val="69E4B64C"/>
    <w:rsid w:val="69E59E83"/>
    <w:rsid w:val="6A515A23"/>
    <w:rsid w:val="6A777F99"/>
    <w:rsid w:val="6AA8C982"/>
    <w:rsid w:val="6B500EFE"/>
    <w:rsid w:val="6B93BAA7"/>
    <w:rsid w:val="6C329F5F"/>
    <w:rsid w:val="6C567B60"/>
    <w:rsid w:val="6C79A966"/>
    <w:rsid w:val="6CCFC76F"/>
    <w:rsid w:val="6CDCE97B"/>
    <w:rsid w:val="6D7E1553"/>
    <w:rsid w:val="6DB7AF35"/>
    <w:rsid w:val="6E663146"/>
    <w:rsid w:val="6E6DAC4A"/>
    <w:rsid w:val="6EB23CB6"/>
    <w:rsid w:val="6EB36D3B"/>
    <w:rsid w:val="6F0240B2"/>
    <w:rsid w:val="6F342662"/>
    <w:rsid w:val="6F6343FE"/>
    <w:rsid w:val="6F90F7C3"/>
    <w:rsid w:val="6F940224"/>
    <w:rsid w:val="6FF42C1E"/>
    <w:rsid w:val="70482C8E"/>
    <w:rsid w:val="7067B377"/>
    <w:rsid w:val="714DDFB8"/>
    <w:rsid w:val="716EE8FC"/>
    <w:rsid w:val="717BACE5"/>
    <w:rsid w:val="71D4EE42"/>
    <w:rsid w:val="71EE169F"/>
    <w:rsid w:val="734D0CAC"/>
    <w:rsid w:val="7389E700"/>
    <w:rsid w:val="74606AE3"/>
    <w:rsid w:val="750022BD"/>
    <w:rsid w:val="7510AB51"/>
    <w:rsid w:val="757E5924"/>
    <w:rsid w:val="7593A149"/>
    <w:rsid w:val="7602A512"/>
    <w:rsid w:val="766A6918"/>
    <w:rsid w:val="766DA4DC"/>
    <w:rsid w:val="768DA111"/>
    <w:rsid w:val="772AE930"/>
    <w:rsid w:val="77585A59"/>
    <w:rsid w:val="779306DD"/>
    <w:rsid w:val="77CF1974"/>
    <w:rsid w:val="780FF187"/>
    <w:rsid w:val="78A837CE"/>
    <w:rsid w:val="78D0C253"/>
    <w:rsid w:val="79574975"/>
    <w:rsid w:val="798ADB7F"/>
    <w:rsid w:val="79AF3548"/>
    <w:rsid w:val="79C64803"/>
    <w:rsid w:val="7A06AC13"/>
    <w:rsid w:val="7A39585B"/>
    <w:rsid w:val="7A470EA7"/>
    <w:rsid w:val="7B08135A"/>
    <w:rsid w:val="7B4A66A9"/>
    <w:rsid w:val="7BBC1C0E"/>
    <w:rsid w:val="7C12F96B"/>
    <w:rsid w:val="7C1376E7"/>
    <w:rsid w:val="7C6C53B0"/>
    <w:rsid w:val="7C930B9C"/>
    <w:rsid w:val="7CCDE34B"/>
    <w:rsid w:val="7D6554E7"/>
    <w:rsid w:val="7D9B91EA"/>
    <w:rsid w:val="7DB2AAD6"/>
    <w:rsid w:val="7DE9B20B"/>
    <w:rsid w:val="7EA540FA"/>
    <w:rsid w:val="7F0765A8"/>
    <w:rsid w:val="7F8E7C9E"/>
    <w:rsid w:val="7FBA0835"/>
    <w:rsid w:val="7FEA2E48"/>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724AEA8"/>
  <w15:docId w15:val="{76B7C6B7-1550-4CE5-8B7B-58B01B6182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heme="minorBidi"/>
        <w:sz w:val="24"/>
        <w:szCs w:val="24"/>
        <w:lang w:val="en-US" w:eastAsia="en-US" w:bidi="ar-SA"/>
      </w:rPr>
    </w:rPrDefault>
    <w:pPrDefault>
      <w:pPr>
        <w:spacing w:after="200" w:line="480"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lsdException w:name="Normal Indent" w:semiHidden="1"/>
    <w:lsdException w:name="footnote text" w:semiHidden="1" w:unhideWhenUsed="1"/>
    <w:lsdException w:name="annotation text" w:semiHidden="1"/>
    <w:lsdException w:name="header" w:semiHidden="1" w:unhideWhenUsed="1"/>
    <w:lsdException w:name="footer" w:semiHidden="1" w:unhideWhenUsed="1"/>
    <w:lsdException w:name="index heading" w:semiHidden="1"/>
    <w:lsdException w:name="caption" w:semiHidden="1" w:uiPriority="35" w:qFormat="1"/>
    <w:lsdException w:name="table of figures" w:semiHidden="1"/>
    <w:lsdException w:name="envelope address" w:semiHidden="1"/>
    <w:lsdException w:name="envelope return" w:semiHidden="1"/>
    <w:lsdException w:name="footnote reference" w:semiHidden="1" w:unhideWhenUsed="1"/>
    <w:lsdException w:name="annotation reference" w:semiHidden="1"/>
    <w:lsdException w:name="line number" w:semiHidden="1"/>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uiPriority="0" w:qFormat="1"/>
    <w:lsdException w:name="List Number" w:semiHidden="1" w:uiPriority="0" w:qFormat="1"/>
    <w:lsdException w:name="List 2" w:semiHidden="1"/>
    <w:lsdException w:name="List 3" w:semiHidden="1"/>
    <w:lsdException w:name="List 4" w:semiHidden="1"/>
    <w:lsdException w:name="List 5" w:semiHidden="1"/>
    <w:lsdException w:name="List Bullet 2" w:semiHidden="1" w:uiPriority="0" w:qFormat="1"/>
    <w:lsdException w:name="List Bullet 3" w:semiHidden="1" w:uiPriority="0" w:qFormat="1"/>
    <w:lsdException w:name="List Bullet 4" w:semiHidden="1"/>
    <w:lsdException w:name="List Bullet 5" w:semiHidden="1"/>
    <w:lsdException w:name="List Number 2" w:semiHidden="1" w:uiPriority="0" w:qFormat="1"/>
    <w:lsdException w:name="List Number 3" w:semiHidden="1" w:uiPriority="0" w:qFormat="1"/>
    <w:lsdException w:name="List Number 4" w:semiHidden="1"/>
    <w:lsdException w:name="List Number 5" w:semiHidden="1"/>
    <w:lsdException w:name="Title" w:semiHidden="1" w:uiPriority="10"/>
    <w:lsdException w:name="Closing" w:semiHidden="1"/>
    <w:lsdException w:name="Signature" w:semiHidden="1"/>
    <w:lsdException w:name="Default Paragraph Font" w:semiHidden="1" w:uiPriority="1" w:unhideWhenUsed="1"/>
    <w:lsdException w:name="Body Text" w:semiHidden="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semiHidden="1" w:uiPriority="1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semiHidden="1" w:unhideWhenUsed="1" w:qFormat="1"/>
    <w:lsdException w:name="FollowedHyperlink" w:semiHidden="1"/>
    <w:lsdException w:name="Strong" w:semiHidden="1" w:uiPriority="22"/>
    <w:lsdException w:name="Emphasis" w:semiHidden="1" w:uiPriority="20"/>
    <w:lsdException w:name="Document Map" w:semiHidden="1"/>
    <w:lsdException w:name="Plain Text" w:semiHidden="1"/>
    <w:lsdException w:name="E-mail Signature" w:semiHidden="1"/>
    <w:lsdException w:name="HTML Top of Form" w:semiHidden="1" w:unhideWhenUsed="1"/>
    <w:lsdException w:name="HTML Bottom of Form"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unhideWhenUsed="1"/>
    <w:lsdException w:name="HTML Variable" w:semiHidden="1"/>
    <w:lsdException w:name="Normal Table" w:semiHidden="1" w:unhideWhenUsed="1"/>
    <w:lsdException w:name="annotation subject" w:semiHidden="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iPriority="0"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lsdException w:name="Quote" w:semiHidden="1" w:uiPriority="29"/>
    <w:lsdException w:name="Intense Quote" w:semiHidden="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lsdException w:name="Intense Emphasis" w:semiHidden="1" w:uiPriority="21"/>
    <w:lsdException w:name="Subtle Reference" w:semiHidden="1" w:uiPriority="31"/>
    <w:lsdException w:name="Intense Reference" w:semiHidden="1" w:uiPriority="32"/>
    <w:lsdException w:name="Book Title" w:semiHidden="1"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lsdException w:name="Smart Hyperlink" w:semiHidden="1"/>
    <w:lsdException w:name="Hashtag" w:semiHidden="1"/>
    <w:lsdException w:name="Unresolved Mention" w:semiHidden="1" w:unhideWhenUsed="1"/>
    <w:lsdException w:name="Smart Link" w:semiHidden="1" w:unhideWhenUsed="1"/>
  </w:latentStyles>
  <w:style w:type="paragraph" w:default="1" w:styleId="Normal">
    <w:name w:val="Normal"/>
    <w:semiHidden/>
    <w:rsid w:val="0081293E"/>
  </w:style>
  <w:style w:type="paragraph" w:styleId="Heading1">
    <w:name w:val="heading 1"/>
    <w:basedOn w:val="Normal"/>
    <w:next w:val="Normal"/>
    <w:link w:val="Heading1Char"/>
    <w:uiPriority w:val="9"/>
    <w:semiHidden/>
    <w:rsid w:val="00E02CF8"/>
    <w:pPr>
      <w:keepNext/>
      <w:keepLines/>
      <w:spacing w:before="240" w:after="0"/>
      <w:outlineLvl w:val="0"/>
    </w:pPr>
    <w:rPr>
      <w:rFonts w:ascii="Cambria" w:eastAsia="MS Gothic" w:hAnsi="Cambria"/>
      <w:color w:val="365F91"/>
      <w:sz w:val="32"/>
      <w:szCs w:val="32"/>
    </w:rPr>
  </w:style>
  <w:style w:type="paragraph" w:styleId="Heading2">
    <w:name w:val="heading 2"/>
    <w:basedOn w:val="Normal"/>
    <w:next w:val="Normal"/>
    <w:link w:val="Heading2Char"/>
    <w:uiPriority w:val="9"/>
    <w:qFormat/>
    <w:rsid w:val="00E02CF8"/>
    <w:pPr>
      <w:keepNext/>
      <w:keepLines/>
      <w:spacing w:before="40" w:after="0"/>
      <w:outlineLvl w:val="1"/>
    </w:pPr>
    <w:rPr>
      <w:rFonts w:ascii="Cambria" w:eastAsia="MS Gothic" w:hAnsi="Cambria"/>
      <w:color w:val="365F91"/>
      <w:sz w:val="26"/>
      <w:szCs w:val="26"/>
    </w:rPr>
  </w:style>
  <w:style w:type="paragraph" w:styleId="Heading3">
    <w:name w:val="heading 3"/>
    <w:basedOn w:val="Normal"/>
    <w:next w:val="Normal"/>
    <w:link w:val="Heading3Char"/>
    <w:uiPriority w:val="9"/>
    <w:semiHidden/>
    <w:qFormat/>
    <w:rsid w:val="00E02CF8"/>
    <w:pPr>
      <w:keepNext/>
      <w:keepLines/>
      <w:spacing w:before="40" w:after="0"/>
      <w:outlineLvl w:val="2"/>
    </w:pPr>
    <w:rPr>
      <w:rFonts w:ascii="Cambria" w:eastAsia="MS Gothic" w:hAnsi="Cambria"/>
      <w:color w:val="243F60"/>
    </w:rPr>
  </w:style>
  <w:style w:type="paragraph" w:styleId="Heading4">
    <w:name w:val="heading 4"/>
    <w:basedOn w:val="Normal"/>
    <w:next w:val="Normal"/>
    <w:link w:val="Heading4Char"/>
    <w:uiPriority w:val="9"/>
    <w:semiHidden/>
    <w:qFormat/>
    <w:rsid w:val="00E02CF8"/>
    <w:pPr>
      <w:keepNext/>
      <w:keepLines/>
      <w:spacing w:before="40" w:after="0"/>
      <w:outlineLvl w:val="3"/>
    </w:pPr>
    <w:rPr>
      <w:rFonts w:ascii="Cambria" w:eastAsia="MS Gothic" w:hAnsi="Cambria"/>
      <w:i/>
      <w:iCs/>
      <w:color w:val="365F91"/>
    </w:rPr>
  </w:style>
  <w:style w:type="paragraph" w:styleId="Heading5">
    <w:name w:val="heading 5"/>
    <w:basedOn w:val="Normal"/>
    <w:next w:val="Normal"/>
    <w:link w:val="Heading5Char"/>
    <w:uiPriority w:val="9"/>
    <w:semiHidden/>
    <w:qFormat/>
    <w:rsid w:val="00E02CF8"/>
    <w:pPr>
      <w:keepNext/>
      <w:keepLines/>
      <w:spacing w:before="40" w:after="0"/>
      <w:outlineLvl w:val="4"/>
    </w:pPr>
    <w:rPr>
      <w:rFonts w:ascii="Cambria" w:eastAsia="MS Gothic" w:hAnsi="Cambria"/>
      <w:color w:val="365F91"/>
    </w:rPr>
  </w:style>
  <w:style w:type="paragraph" w:styleId="Heading6">
    <w:name w:val="heading 6"/>
    <w:basedOn w:val="Normal"/>
    <w:next w:val="Normal"/>
    <w:link w:val="Heading6Char"/>
    <w:uiPriority w:val="9"/>
    <w:semiHidden/>
    <w:qFormat/>
    <w:rsid w:val="00E02CF8"/>
    <w:pPr>
      <w:keepNext/>
      <w:keepLines/>
      <w:spacing w:before="40" w:after="0"/>
      <w:outlineLvl w:val="5"/>
    </w:pPr>
    <w:rPr>
      <w:rFonts w:ascii="Cambria" w:eastAsia="MS Gothic" w:hAnsi="Cambria"/>
      <w:color w:val="243F60"/>
    </w:rPr>
  </w:style>
  <w:style w:type="paragraph" w:styleId="Heading7">
    <w:name w:val="heading 7"/>
    <w:basedOn w:val="Normal"/>
    <w:next w:val="Normal"/>
    <w:link w:val="Heading7Char"/>
    <w:uiPriority w:val="9"/>
    <w:semiHidden/>
    <w:qFormat/>
    <w:rsid w:val="00E02CF8"/>
    <w:pPr>
      <w:keepNext/>
      <w:keepLines/>
      <w:spacing w:before="40" w:after="0"/>
      <w:outlineLvl w:val="6"/>
    </w:pPr>
    <w:rPr>
      <w:rFonts w:ascii="Cambria" w:eastAsia="MS Gothic" w:hAnsi="Cambria"/>
      <w:i/>
      <w:iCs/>
      <w:color w:val="243F60"/>
    </w:rPr>
  </w:style>
  <w:style w:type="paragraph" w:styleId="Heading8">
    <w:name w:val="heading 8"/>
    <w:basedOn w:val="Normal"/>
    <w:next w:val="Normal"/>
    <w:link w:val="Heading8Char"/>
    <w:uiPriority w:val="9"/>
    <w:semiHidden/>
    <w:qFormat/>
    <w:rsid w:val="00E02CF8"/>
    <w:pPr>
      <w:keepNext/>
      <w:keepLines/>
      <w:spacing w:before="40" w:after="0"/>
      <w:outlineLvl w:val="7"/>
    </w:pPr>
    <w:rPr>
      <w:rFonts w:ascii="Cambria" w:eastAsia="MS Gothic" w:hAnsi="Cambria"/>
      <w:color w:val="272727"/>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semiHidden/>
    <w:rsid w:val="0034363B"/>
    <w:rPr>
      <w:rFonts w:ascii="Cambria" w:eastAsia="MS Gothic" w:hAnsi="Cambria" w:cs="Times New Roman"/>
      <w:color w:val="365F91"/>
      <w:sz w:val="32"/>
      <w:szCs w:val="32"/>
    </w:rPr>
  </w:style>
  <w:style w:type="character" w:customStyle="1" w:styleId="Heading2Char">
    <w:name w:val="Heading 2 Char"/>
    <w:link w:val="Heading2"/>
    <w:uiPriority w:val="9"/>
    <w:semiHidden/>
    <w:rsid w:val="0034363B"/>
    <w:rPr>
      <w:rFonts w:ascii="Cambria" w:eastAsia="MS Gothic" w:hAnsi="Cambria" w:cs="Times New Roman"/>
      <w:color w:val="365F91"/>
      <w:sz w:val="26"/>
      <w:szCs w:val="26"/>
    </w:rPr>
  </w:style>
  <w:style w:type="character" w:customStyle="1" w:styleId="Heading3Char">
    <w:name w:val="Heading 3 Char"/>
    <w:link w:val="Heading3"/>
    <w:uiPriority w:val="9"/>
    <w:semiHidden/>
    <w:rsid w:val="0034363B"/>
    <w:rPr>
      <w:rFonts w:ascii="Cambria" w:eastAsia="MS Gothic" w:hAnsi="Cambria" w:cs="Times New Roman"/>
      <w:color w:val="243F60"/>
      <w:sz w:val="24"/>
      <w:szCs w:val="24"/>
    </w:rPr>
  </w:style>
  <w:style w:type="character" w:customStyle="1" w:styleId="Heading4Char">
    <w:name w:val="Heading 4 Char"/>
    <w:link w:val="Heading4"/>
    <w:uiPriority w:val="9"/>
    <w:semiHidden/>
    <w:rsid w:val="0034363B"/>
    <w:rPr>
      <w:rFonts w:ascii="Cambria" w:eastAsia="MS Gothic" w:hAnsi="Cambria" w:cs="Times New Roman"/>
      <w:i/>
      <w:iCs/>
      <w:color w:val="365F91"/>
      <w:sz w:val="24"/>
    </w:rPr>
  </w:style>
  <w:style w:type="character" w:customStyle="1" w:styleId="Heading5Char">
    <w:name w:val="Heading 5 Char"/>
    <w:link w:val="Heading5"/>
    <w:uiPriority w:val="9"/>
    <w:semiHidden/>
    <w:rsid w:val="0034363B"/>
    <w:rPr>
      <w:rFonts w:ascii="Cambria" w:eastAsia="MS Gothic" w:hAnsi="Cambria" w:cs="Times New Roman"/>
      <w:color w:val="365F91"/>
      <w:sz w:val="24"/>
    </w:rPr>
  </w:style>
  <w:style w:type="character" w:customStyle="1" w:styleId="Heading6Char">
    <w:name w:val="Heading 6 Char"/>
    <w:link w:val="Heading6"/>
    <w:uiPriority w:val="9"/>
    <w:semiHidden/>
    <w:rsid w:val="0034363B"/>
    <w:rPr>
      <w:rFonts w:ascii="Cambria" w:eastAsia="MS Gothic" w:hAnsi="Cambria" w:cs="Times New Roman"/>
      <w:color w:val="243F60"/>
      <w:sz w:val="24"/>
    </w:rPr>
  </w:style>
  <w:style w:type="character" w:customStyle="1" w:styleId="Heading7Char">
    <w:name w:val="Heading 7 Char"/>
    <w:link w:val="Heading7"/>
    <w:uiPriority w:val="9"/>
    <w:semiHidden/>
    <w:rsid w:val="0034363B"/>
    <w:rPr>
      <w:rFonts w:ascii="Cambria" w:eastAsia="MS Gothic" w:hAnsi="Cambria" w:cs="Times New Roman"/>
      <w:i/>
      <w:iCs/>
      <w:color w:val="243F60"/>
      <w:sz w:val="24"/>
    </w:rPr>
  </w:style>
  <w:style w:type="character" w:customStyle="1" w:styleId="Heading8Char">
    <w:name w:val="Heading 8 Char"/>
    <w:link w:val="Heading8"/>
    <w:uiPriority w:val="9"/>
    <w:semiHidden/>
    <w:rsid w:val="0034363B"/>
    <w:rPr>
      <w:rFonts w:ascii="Cambria" w:eastAsia="MS Gothic" w:hAnsi="Cambria" w:cs="Times New Roman"/>
      <w:color w:val="272727"/>
      <w:sz w:val="21"/>
      <w:szCs w:val="21"/>
    </w:rPr>
  </w:style>
  <w:style w:type="character" w:customStyle="1" w:styleId="TableSpannerChar">
    <w:name w:val="TableSpanner Char"/>
    <w:link w:val="TableSpanner"/>
    <w:rsid w:val="00981E0B"/>
    <w:rPr>
      <w:rFonts w:ascii="Arial Narrow" w:eastAsia="Calibri" w:hAnsi="Arial Narrow" w:cs="Times New Roman"/>
      <w:sz w:val="18"/>
      <w:szCs w:val="22"/>
    </w:rPr>
  </w:style>
  <w:style w:type="paragraph" w:customStyle="1" w:styleId="TableSpanner">
    <w:name w:val="TableSpanner"/>
    <w:basedOn w:val="BaseText"/>
    <w:link w:val="TableSpannerChar"/>
    <w:rsid w:val="00981E0B"/>
    <w:pPr>
      <w:spacing w:line="240" w:lineRule="auto"/>
      <w:jc w:val="center"/>
    </w:pPr>
    <w:rPr>
      <w:rFonts w:ascii="Arial Narrow" w:hAnsi="Arial Narrow"/>
      <w:sz w:val="18"/>
      <w:szCs w:val="22"/>
    </w:rPr>
  </w:style>
  <w:style w:type="paragraph" w:customStyle="1" w:styleId="TableHead">
    <w:name w:val="TableHead"/>
    <w:basedOn w:val="BaseText"/>
    <w:rsid w:val="00712B5C"/>
    <w:pPr>
      <w:keepNext/>
      <w:spacing w:line="240" w:lineRule="auto"/>
      <w:jc w:val="center"/>
    </w:pPr>
    <w:rPr>
      <w:rFonts w:ascii="Arial Narrow" w:hAnsi="Arial Narrow"/>
      <w:b/>
      <w:sz w:val="20"/>
    </w:rPr>
  </w:style>
  <w:style w:type="paragraph" w:customStyle="1" w:styleId="TOCHeading1">
    <w:name w:val="TOC_Heading1"/>
    <w:basedOn w:val="BaseHeading"/>
    <w:rsid w:val="00BB3900"/>
    <w:pPr>
      <w:spacing w:before="240" w:after="120"/>
      <w:outlineLvl w:val="9"/>
    </w:pPr>
    <w:rPr>
      <w:b/>
      <w:sz w:val="32"/>
    </w:rPr>
  </w:style>
  <w:style w:type="paragraph" w:customStyle="1" w:styleId="BaseHeading">
    <w:name w:val="Base_Heading"/>
    <w:rsid w:val="00C77D07"/>
    <w:pPr>
      <w:keepNext/>
      <w:spacing w:after="0"/>
      <w:outlineLvl w:val="0"/>
    </w:pPr>
    <w:rPr>
      <w:rFonts w:ascii="Arial Narrow" w:eastAsia="Calibri" w:hAnsi="Arial Narrow" w:cs="Times New Roman"/>
    </w:rPr>
  </w:style>
  <w:style w:type="paragraph" w:customStyle="1" w:styleId="TOCObjectListItem">
    <w:name w:val="TOCObjectListItem"/>
    <w:basedOn w:val="BaseText"/>
    <w:rsid w:val="00644D11"/>
    <w:rPr>
      <w:rFonts w:ascii="Arial Narrow" w:hAnsi="Arial Narrow"/>
    </w:rPr>
  </w:style>
  <w:style w:type="paragraph" w:customStyle="1" w:styleId="BaseText">
    <w:name w:val="Base_Text"/>
    <w:link w:val="BaseTextChar"/>
    <w:rsid w:val="00E02CF8"/>
    <w:pPr>
      <w:spacing w:after="0"/>
    </w:pPr>
    <w:rPr>
      <w:rFonts w:eastAsia="Calibri" w:cs="Times New Roman"/>
    </w:rPr>
  </w:style>
  <w:style w:type="character" w:customStyle="1" w:styleId="BaseTextChar">
    <w:name w:val="Base_Text Char"/>
    <w:link w:val="BaseText"/>
    <w:rsid w:val="00E02CF8"/>
    <w:rPr>
      <w:rFonts w:ascii="Times New Roman" w:eastAsia="Calibri" w:hAnsi="Times New Roman" w:cs="Times New Roman"/>
      <w:sz w:val="24"/>
    </w:rPr>
  </w:style>
  <w:style w:type="paragraph" w:customStyle="1" w:styleId="FrontMatterSubhead">
    <w:name w:val="FrontMatterSubhead"/>
    <w:basedOn w:val="BaseHeading"/>
    <w:rsid w:val="00E02CF8"/>
    <w:pPr>
      <w:spacing w:before="240" w:after="120"/>
      <w:outlineLvl w:val="1"/>
    </w:pPr>
    <w:rPr>
      <w:b/>
      <w:sz w:val="26"/>
    </w:rPr>
  </w:style>
  <w:style w:type="paragraph" w:customStyle="1" w:styleId="TableBody">
    <w:name w:val="TableBody"/>
    <w:basedOn w:val="BaseText"/>
    <w:rsid w:val="00712B5C"/>
    <w:pPr>
      <w:spacing w:line="240" w:lineRule="auto"/>
      <w:ind w:left="187" w:hanging="187"/>
    </w:pPr>
    <w:rPr>
      <w:sz w:val="20"/>
    </w:rPr>
  </w:style>
  <w:style w:type="paragraph" w:customStyle="1" w:styleId="AckHeadFront">
    <w:name w:val="AckHeadFront"/>
    <w:basedOn w:val="AckHeadBack"/>
    <w:rsid w:val="00E02CF8"/>
  </w:style>
  <w:style w:type="paragraph" w:customStyle="1" w:styleId="AckHeadBack">
    <w:name w:val="AckHeadBack"/>
    <w:basedOn w:val="BaseHeading"/>
    <w:rsid w:val="00E02CF8"/>
    <w:pPr>
      <w:spacing w:before="240" w:after="120"/>
    </w:pPr>
    <w:rPr>
      <w:sz w:val="32"/>
    </w:rPr>
  </w:style>
  <w:style w:type="paragraph" w:customStyle="1" w:styleId="FrontMatterHead">
    <w:name w:val="FrontMatterHead"/>
    <w:basedOn w:val="BaseHeading"/>
    <w:rsid w:val="00BB3900"/>
    <w:pPr>
      <w:spacing w:before="240" w:after="120"/>
      <w:outlineLvl w:val="9"/>
    </w:pPr>
    <w:rPr>
      <w:b/>
      <w:sz w:val="32"/>
    </w:rPr>
  </w:style>
  <w:style w:type="paragraph" w:customStyle="1" w:styleId="RptAuthors">
    <w:name w:val="RptAuthors"/>
    <w:basedOn w:val="BaseText"/>
    <w:link w:val="RptAuthorsChar"/>
    <w:rsid w:val="00E02CF8"/>
    <w:pPr>
      <w:spacing w:before="480" w:after="480"/>
    </w:pPr>
    <w:rPr>
      <w:rFonts w:ascii="Arial Narrow" w:hAnsi="Arial Narrow"/>
    </w:rPr>
  </w:style>
  <w:style w:type="character" w:customStyle="1" w:styleId="RptAuthorsChar">
    <w:name w:val="RptAuthors Char"/>
    <w:link w:val="RptAuthors"/>
    <w:rsid w:val="009B14AD"/>
    <w:rPr>
      <w:rFonts w:ascii="Arial Narrow" w:eastAsia="Calibri" w:hAnsi="Arial Narrow" w:cs="Times New Roman"/>
    </w:rPr>
  </w:style>
  <w:style w:type="paragraph" w:customStyle="1" w:styleId="RptTitle">
    <w:name w:val="RptTitle"/>
    <w:basedOn w:val="BaseHeading"/>
    <w:rsid w:val="00BB3900"/>
    <w:pPr>
      <w:spacing w:before="480" w:after="120"/>
      <w:outlineLvl w:val="9"/>
    </w:pPr>
    <w:rPr>
      <w:b/>
      <w:sz w:val="44"/>
    </w:rPr>
  </w:style>
  <w:style w:type="paragraph" w:customStyle="1" w:styleId="DefListItem">
    <w:name w:val="DefListItem"/>
    <w:basedOn w:val="BaseText"/>
    <w:rsid w:val="00C8764F"/>
    <w:pPr>
      <w:tabs>
        <w:tab w:val="left" w:pos="1440"/>
      </w:tabs>
    </w:pPr>
  </w:style>
  <w:style w:type="paragraph" w:customStyle="1" w:styleId="DefListTitleFront">
    <w:name w:val="DefListTitleFront"/>
    <w:basedOn w:val="BaseHeading"/>
    <w:rsid w:val="00BB3900"/>
    <w:pPr>
      <w:spacing w:before="240" w:after="120"/>
      <w:outlineLvl w:val="9"/>
    </w:pPr>
    <w:rPr>
      <w:b/>
      <w:sz w:val="32"/>
    </w:rPr>
  </w:style>
  <w:style w:type="paragraph" w:customStyle="1" w:styleId="FrontMatterText">
    <w:name w:val="FrontMatterText"/>
    <w:basedOn w:val="BaseText"/>
    <w:rsid w:val="00E02CF8"/>
    <w:rPr>
      <w:rFonts w:ascii="Arial Narrow" w:hAnsi="Arial Narrow"/>
    </w:rPr>
  </w:style>
  <w:style w:type="paragraph" w:customStyle="1" w:styleId="BodyText">
    <w:name w:val="BodyText"/>
    <w:basedOn w:val="BaseText"/>
    <w:link w:val="BodyTextChar"/>
    <w:qFormat/>
    <w:rsid w:val="00E02CF8"/>
    <w:pPr>
      <w:spacing w:before="120"/>
      <w:ind w:firstLine="720"/>
    </w:pPr>
  </w:style>
  <w:style w:type="character" w:customStyle="1" w:styleId="BodyTextChar">
    <w:name w:val="BodyText Char"/>
    <w:link w:val="BodyText"/>
    <w:rsid w:val="0017565D"/>
    <w:rPr>
      <w:rFonts w:eastAsia="Calibri" w:cs="Times New Roman"/>
    </w:rPr>
  </w:style>
  <w:style w:type="paragraph" w:customStyle="1" w:styleId="FigureCaption">
    <w:name w:val="FigureCaption"/>
    <w:basedOn w:val="Caption"/>
    <w:link w:val="FigureCaptionChar"/>
    <w:qFormat/>
    <w:rsid w:val="002E2E3D"/>
    <w:pPr>
      <w:tabs>
        <w:tab w:val="left" w:pos="1080"/>
      </w:tabs>
      <w:spacing w:before="120" w:after="120"/>
    </w:pPr>
    <w:rPr>
      <w:rFonts w:ascii="Arial Narrow" w:hAnsi="Arial Narrow"/>
    </w:rPr>
  </w:style>
  <w:style w:type="paragraph" w:styleId="Caption">
    <w:name w:val="caption"/>
    <w:basedOn w:val="BaseText"/>
    <w:next w:val="Normal"/>
    <w:uiPriority w:val="35"/>
    <w:semiHidden/>
    <w:qFormat/>
    <w:rsid w:val="006F0737"/>
    <w:rPr>
      <w:iCs/>
      <w:szCs w:val="18"/>
    </w:rPr>
  </w:style>
  <w:style w:type="character" w:customStyle="1" w:styleId="FigureCaptionChar">
    <w:name w:val="FigureCaption Char"/>
    <w:link w:val="FigureCaption"/>
    <w:locked/>
    <w:rsid w:val="002E2E3D"/>
    <w:rPr>
      <w:rFonts w:ascii="Arial Narrow" w:eastAsia="Calibri" w:hAnsi="Arial Narrow" w:cs="Times New Roman"/>
      <w:iCs/>
      <w:szCs w:val="18"/>
    </w:rPr>
  </w:style>
  <w:style w:type="paragraph" w:customStyle="1" w:styleId="Head1">
    <w:name w:val="Head1"/>
    <w:basedOn w:val="BaseHeading"/>
    <w:qFormat/>
    <w:rsid w:val="00E02CF8"/>
    <w:pPr>
      <w:spacing w:before="240" w:after="120"/>
    </w:pPr>
    <w:rPr>
      <w:b/>
      <w:sz w:val="32"/>
    </w:rPr>
  </w:style>
  <w:style w:type="paragraph" w:customStyle="1" w:styleId="Head2">
    <w:name w:val="Head2"/>
    <w:basedOn w:val="BaseHeading"/>
    <w:qFormat/>
    <w:rsid w:val="00817B66"/>
    <w:pPr>
      <w:spacing w:before="240" w:after="120"/>
      <w:outlineLvl w:val="1"/>
    </w:pPr>
    <w:rPr>
      <w:b/>
      <w:sz w:val="28"/>
    </w:rPr>
  </w:style>
  <w:style w:type="paragraph" w:customStyle="1" w:styleId="Head3">
    <w:name w:val="Head3"/>
    <w:basedOn w:val="BaseHeading"/>
    <w:qFormat/>
    <w:rsid w:val="00817B66"/>
    <w:pPr>
      <w:spacing w:before="240" w:after="120"/>
      <w:outlineLvl w:val="2"/>
    </w:pPr>
    <w:rPr>
      <w:b/>
      <w:sz w:val="26"/>
    </w:rPr>
  </w:style>
  <w:style w:type="paragraph" w:customStyle="1" w:styleId="TableTitle">
    <w:name w:val="TableTitle"/>
    <w:basedOn w:val="BaseText"/>
    <w:qFormat/>
    <w:rsid w:val="002E2E3D"/>
    <w:pPr>
      <w:keepNext/>
      <w:tabs>
        <w:tab w:val="left" w:pos="1080"/>
      </w:tabs>
      <w:spacing w:before="120"/>
    </w:pPr>
    <w:rPr>
      <w:rFonts w:ascii="Arial Narrow" w:hAnsi="Arial Narrow"/>
    </w:rPr>
  </w:style>
  <w:style w:type="paragraph" w:customStyle="1" w:styleId="TableFootnote">
    <w:name w:val="TableFootnote"/>
    <w:basedOn w:val="BodyText"/>
    <w:rsid w:val="00981E0B"/>
    <w:pPr>
      <w:spacing w:line="240" w:lineRule="auto"/>
    </w:pPr>
    <w:rPr>
      <w:sz w:val="18"/>
    </w:rPr>
  </w:style>
  <w:style w:type="paragraph" w:customStyle="1" w:styleId="NumBulList1">
    <w:name w:val="Num_Bul_List_1"/>
    <w:basedOn w:val="BaseText"/>
    <w:qFormat/>
    <w:rsid w:val="0081293E"/>
    <w:pPr>
      <w:ind w:left="720"/>
    </w:pPr>
    <w:rPr>
      <w:rFonts w:eastAsia="Times New Roman"/>
    </w:rPr>
  </w:style>
  <w:style w:type="paragraph" w:customStyle="1" w:styleId="NumBulList2">
    <w:name w:val="Num_Bul_List_2"/>
    <w:basedOn w:val="NumBulList1"/>
    <w:rsid w:val="0081293E"/>
    <w:pPr>
      <w:spacing w:before="120"/>
      <w:ind w:left="1080"/>
    </w:pPr>
  </w:style>
  <w:style w:type="paragraph" w:customStyle="1" w:styleId="NumBulList3">
    <w:name w:val="Num_Bul_List_3"/>
    <w:basedOn w:val="Normal"/>
    <w:rsid w:val="0081293E"/>
    <w:pPr>
      <w:spacing w:before="120" w:after="0"/>
      <w:ind w:left="1440"/>
    </w:pPr>
    <w:rPr>
      <w:rFonts w:eastAsia="Times New Roman"/>
    </w:rPr>
  </w:style>
  <w:style w:type="paragraph" w:customStyle="1" w:styleId="NumBulList4">
    <w:name w:val="Num_Bul_List_4"/>
    <w:basedOn w:val="Normal"/>
    <w:rsid w:val="0081293E"/>
    <w:pPr>
      <w:spacing w:before="120" w:after="0"/>
      <w:ind w:left="1800"/>
    </w:pPr>
    <w:rPr>
      <w:rFonts w:eastAsia="Times New Roman"/>
    </w:rPr>
  </w:style>
  <w:style w:type="paragraph" w:customStyle="1" w:styleId="EquationDefList">
    <w:name w:val="EquationDefList"/>
    <w:basedOn w:val="BaseText"/>
    <w:qFormat/>
    <w:rsid w:val="00C8764F"/>
    <w:pPr>
      <w:ind w:left="1080" w:right="720" w:hanging="1080"/>
    </w:pPr>
  </w:style>
  <w:style w:type="paragraph" w:customStyle="1" w:styleId="EquationNum">
    <w:name w:val="EquationNum"/>
    <w:basedOn w:val="BaseText"/>
    <w:qFormat/>
    <w:rsid w:val="00C8764F"/>
    <w:pPr>
      <w:tabs>
        <w:tab w:val="right" w:pos="9360"/>
      </w:tabs>
      <w:spacing w:before="120" w:after="120"/>
      <w:ind w:left="1440"/>
    </w:pPr>
  </w:style>
  <w:style w:type="paragraph" w:customStyle="1" w:styleId="Head4">
    <w:name w:val="Head4"/>
    <w:basedOn w:val="BaseHeading"/>
    <w:qFormat/>
    <w:rsid w:val="00817B66"/>
    <w:pPr>
      <w:spacing w:before="240" w:after="120"/>
      <w:outlineLvl w:val="3"/>
    </w:pPr>
    <w:rPr>
      <w:i/>
    </w:rPr>
  </w:style>
  <w:style w:type="paragraph" w:customStyle="1" w:styleId="Reference">
    <w:name w:val="Reference"/>
    <w:basedOn w:val="BaseText"/>
    <w:link w:val="ReferenceChar"/>
    <w:qFormat/>
    <w:rsid w:val="00E02CF8"/>
    <w:pPr>
      <w:ind w:left="202" w:hanging="202"/>
    </w:pPr>
  </w:style>
  <w:style w:type="character" w:customStyle="1" w:styleId="ReferenceChar">
    <w:name w:val="Reference Char"/>
    <w:link w:val="Reference"/>
    <w:rsid w:val="009B14AD"/>
    <w:rPr>
      <w:rFonts w:eastAsia="Calibri" w:cs="Times New Roman"/>
    </w:rPr>
  </w:style>
  <w:style w:type="paragraph" w:customStyle="1" w:styleId="DefListTitleBack">
    <w:name w:val="DefListTitleBack"/>
    <w:basedOn w:val="BackMatterHead"/>
    <w:rsid w:val="00E02CF8"/>
  </w:style>
  <w:style w:type="paragraph" w:customStyle="1" w:styleId="BackMatterHead">
    <w:name w:val="BackMatterHead"/>
    <w:basedOn w:val="BaseHeading"/>
    <w:rsid w:val="00E02CF8"/>
    <w:pPr>
      <w:spacing w:before="240" w:after="120"/>
    </w:pPr>
    <w:rPr>
      <w:b/>
      <w:sz w:val="32"/>
    </w:rPr>
  </w:style>
  <w:style w:type="paragraph" w:customStyle="1" w:styleId="Head5">
    <w:name w:val="Head5"/>
    <w:basedOn w:val="BaseHeading"/>
    <w:rsid w:val="00E02CF8"/>
    <w:pPr>
      <w:spacing w:before="240" w:after="120"/>
      <w:outlineLvl w:val="4"/>
    </w:pPr>
    <w:rPr>
      <w:i/>
    </w:rPr>
  </w:style>
  <w:style w:type="paragraph" w:customStyle="1" w:styleId="RefHeadBack">
    <w:name w:val="RefHeadBack"/>
    <w:basedOn w:val="BaseHeading"/>
    <w:rsid w:val="00E02CF8"/>
    <w:pPr>
      <w:spacing w:before="240" w:after="120"/>
    </w:pPr>
    <w:rPr>
      <w:b/>
      <w:sz w:val="32"/>
    </w:rPr>
  </w:style>
  <w:style w:type="paragraph" w:customStyle="1" w:styleId="Collaborator">
    <w:name w:val="Collaborator"/>
    <w:basedOn w:val="BaseText"/>
    <w:link w:val="CollaboratorChar"/>
    <w:rsid w:val="00E02CF8"/>
    <w:pPr>
      <w:spacing w:before="480" w:line="240" w:lineRule="auto"/>
    </w:pPr>
    <w:rPr>
      <w:rFonts w:ascii="Arial Narrow" w:hAnsi="Arial Narrow"/>
      <w:b/>
      <w:sz w:val="28"/>
    </w:rPr>
  </w:style>
  <w:style w:type="character" w:customStyle="1" w:styleId="CollaboratorChar">
    <w:name w:val="Collaborator Char"/>
    <w:link w:val="Collaborator"/>
    <w:rsid w:val="0017565D"/>
    <w:rPr>
      <w:rFonts w:ascii="Arial Narrow" w:eastAsia="Calibri" w:hAnsi="Arial Narrow" w:cs="Times New Roman"/>
      <w:b/>
      <w:sz w:val="28"/>
    </w:rPr>
  </w:style>
  <w:style w:type="paragraph" w:customStyle="1" w:styleId="Quotation">
    <w:name w:val="Quotation"/>
    <w:basedOn w:val="BaseText"/>
    <w:rsid w:val="00E02CF8"/>
    <w:pPr>
      <w:spacing w:before="80" w:after="80"/>
      <w:ind w:left="346" w:right="691"/>
    </w:pPr>
  </w:style>
  <w:style w:type="paragraph" w:customStyle="1" w:styleId="QuotationFront">
    <w:name w:val="QuotationFront"/>
    <w:basedOn w:val="Quotation"/>
    <w:rsid w:val="00E02CF8"/>
  </w:style>
  <w:style w:type="character" w:styleId="Hyperlink">
    <w:name w:val="Hyperlink"/>
    <w:uiPriority w:val="99"/>
    <w:unhideWhenUsed/>
    <w:qFormat/>
    <w:rsid w:val="00E02CF8"/>
    <w:rPr>
      <w:color w:val="0000FF"/>
      <w:u w:val="none"/>
    </w:rPr>
  </w:style>
  <w:style w:type="paragraph" w:customStyle="1" w:styleId="TableHeadnote">
    <w:name w:val="TableHeadnote"/>
    <w:basedOn w:val="BaseText"/>
    <w:next w:val="TableHead"/>
    <w:link w:val="TableHeadnoteChar"/>
    <w:rsid w:val="002E2E3D"/>
    <w:pPr>
      <w:keepNext/>
    </w:pPr>
    <w:rPr>
      <w:rFonts w:eastAsia="Times New Roman"/>
      <w:szCs w:val="16"/>
    </w:rPr>
  </w:style>
  <w:style w:type="character" w:customStyle="1" w:styleId="TableHeadnoteChar">
    <w:name w:val="TableHeadnote Char"/>
    <w:link w:val="TableHeadnote"/>
    <w:rsid w:val="002E2E3D"/>
    <w:rPr>
      <w:rFonts w:eastAsia="Times New Roman" w:cs="Times New Roman"/>
      <w:szCs w:val="16"/>
    </w:rPr>
  </w:style>
  <w:style w:type="paragraph" w:customStyle="1" w:styleId="AppendixText">
    <w:name w:val="AppendixText"/>
    <w:basedOn w:val="Normal"/>
    <w:rsid w:val="00E02CF8"/>
    <w:pPr>
      <w:spacing w:after="0"/>
      <w:ind w:firstLine="720"/>
    </w:pPr>
  </w:style>
  <w:style w:type="paragraph" w:customStyle="1" w:styleId="AppendixTitle">
    <w:name w:val="AppendixTitle"/>
    <w:basedOn w:val="BaseHeading"/>
    <w:rsid w:val="00E02CF8"/>
    <w:pPr>
      <w:spacing w:after="120"/>
    </w:pPr>
    <w:rPr>
      <w:b/>
      <w:sz w:val="40"/>
    </w:rPr>
  </w:style>
  <w:style w:type="paragraph" w:customStyle="1" w:styleId="AppHead1">
    <w:name w:val="AppHead1"/>
    <w:basedOn w:val="Head1"/>
    <w:rsid w:val="00BB3900"/>
    <w:pPr>
      <w:outlineLvl w:val="9"/>
    </w:pPr>
  </w:style>
  <w:style w:type="paragraph" w:customStyle="1" w:styleId="AppHead2">
    <w:name w:val="AppHead2"/>
    <w:basedOn w:val="Head2"/>
    <w:rsid w:val="00BB3900"/>
    <w:pPr>
      <w:outlineLvl w:val="9"/>
    </w:pPr>
  </w:style>
  <w:style w:type="paragraph" w:customStyle="1" w:styleId="AppHead3">
    <w:name w:val="AppHead3"/>
    <w:basedOn w:val="Head3"/>
    <w:rsid w:val="00BB3900"/>
    <w:pPr>
      <w:outlineLvl w:val="9"/>
    </w:pPr>
  </w:style>
  <w:style w:type="paragraph" w:customStyle="1" w:styleId="AppHead4">
    <w:name w:val="AppHead4"/>
    <w:basedOn w:val="Head4"/>
    <w:rsid w:val="00BB3900"/>
    <w:pPr>
      <w:outlineLvl w:val="9"/>
    </w:pPr>
  </w:style>
  <w:style w:type="paragraph" w:customStyle="1" w:styleId="AppHead5">
    <w:name w:val="AppHead5"/>
    <w:basedOn w:val="Head5"/>
    <w:rsid w:val="00BB3900"/>
    <w:pPr>
      <w:outlineLvl w:val="9"/>
    </w:pPr>
  </w:style>
  <w:style w:type="paragraph" w:customStyle="1" w:styleId="RefHeadApp">
    <w:name w:val="RefHeadApp"/>
    <w:basedOn w:val="RefHeadBack"/>
    <w:rsid w:val="00BB3900"/>
    <w:pPr>
      <w:outlineLvl w:val="9"/>
    </w:pPr>
    <w:rPr>
      <w:sz w:val="28"/>
    </w:rPr>
  </w:style>
  <w:style w:type="paragraph" w:customStyle="1" w:styleId="Non-XMLText">
    <w:name w:val="Non-XML_Text"/>
    <w:basedOn w:val="BaseText"/>
    <w:rsid w:val="00E02CF8"/>
    <w:pPr>
      <w:spacing w:before="120" w:line="240" w:lineRule="auto"/>
    </w:pPr>
    <w:rPr>
      <w:rFonts w:eastAsia="Times New Roman"/>
      <w:color w:val="FF0000"/>
    </w:rPr>
  </w:style>
  <w:style w:type="paragraph" w:customStyle="1" w:styleId="QuoteSource">
    <w:name w:val="QuoteSource"/>
    <w:basedOn w:val="BaseText"/>
    <w:rsid w:val="00E02CF8"/>
    <w:pPr>
      <w:spacing w:after="240"/>
      <w:ind w:left="576" w:right="288"/>
    </w:pPr>
  </w:style>
  <w:style w:type="paragraph" w:customStyle="1" w:styleId="RefHeadChap">
    <w:name w:val="RefHeadChap"/>
    <w:basedOn w:val="RefHeadBack"/>
    <w:rsid w:val="00E02CF8"/>
  </w:style>
  <w:style w:type="paragraph" w:customStyle="1" w:styleId="DMU1">
    <w:name w:val="DMU1"/>
    <w:basedOn w:val="DMUParaCont"/>
    <w:rsid w:val="0006275E"/>
    <w:pPr>
      <w:ind w:left="720"/>
    </w:pPr>
  </w:style>
  <w:style w:type="paragraph" w:customStyle="1" w:styleId="DMU2">
    <w:name w:val="DMU2"/>
    <w:basedOn w:val="DMU3"/>
    <w:rsid w:val="0006275E"/>
    <w:pPr>
      <w:tabs>
        <w:tab w:val="left" w:pos="2070"/>
      </w:tabs>
      <w:ind w:left="2430" w:hanging="1710"/>
    </w:pPr>
  </w:style>
  <w:style w:type="paragraph" w:customStyle="1" w:styleId="DMU3">
    <w:name w:val="DMU3"/>
    <w:basedOn w:val="DMU4"/>
    <w:rsid w:val="0006275E"/>
    <w:pPr>
      <w:tabs>
        <w:tab w:val="clear" w:pos="3060"/>
        <w:tab w:val="left" w:pos="2340"/>
      </w:tabs>
      <w:ind w:left="2790" w:hanging="2070"/>
    </w:pPr>
  </w:style>
  <w:style w:type="paragraph" w:customStyle="1" w:styleId="DMU4">
    <w:name w:val="DMU4"/>
    <w:basedOn w:val="DMU5"/>
    <w:rsid w:val="0006275E"/>
    <w:pPr>
      <w:tabs>
        <w:tab w:val="left" w:pos="2700"/>
      </w:tabs>
      <w:ind w:left="3060" w:hanging="2340"/>
    </w:pPr>
  </w:style>
  <w:style w:type="paragraph" w:customStyle="1" w:styleId="DMU5">
    <w:name w:val="DMU5"/>
    <w:basedOn w:val="Normal"/>
    <w:rsid w:val="0006275E"/>
    <w:pPr>
      <w:tabs>
        <w:tab w:val="left" w:pos="3060"/>
      </w:tabs>
      <w:spacing w:after="0"/>
      <w:ind w:left="3330" w:hanging="2610"/>
    </w:pPr>
    <w:rPr>
      <w:rFonts w:eastAsia="Calibri" w:cs="Times New Roman"/>
    </w:rPr>
  </w:style>
  <w:style w:type="paragraph" w:customStyle="1" w:styleId="DMUAuthors">
    <w:name w:val="DMUAuthors"/>
    <w:basedOn w:val="BaseText"/>
    <w:link w:val="DMUAuthorsChar"/>
    <w:rsid w:val="00E02CF8"/>
    <w:pPr>
      <w:jc w:val="center"/>
    </w:pPr>
  </w:style>
  <w:style w:type="character" w:customStyle="1" w:styleId="DMUAuthorsChar">
    <w:name w:val="DMUAuthors Char"/>
    <w:link w:val="DMUAuthors"/>
    <w:rsid w:val="00C54806"/>
    <w:rPr>
      <w:rFonts w:eastAsia="Calibri" w:cs="Times New Roman"/>
    </w:rPr>
  </w:style>
  <w:style w:type="paragraph" w:customStyle="1" w:styleId="DMUHead2">
    <w:name w:val="DMUHead2"/>
    <w:basedOn w:val="BaseHeading"/>
    <w:rsid w:val="00BB3900"/>
    <w:pPr>
      <w:jc w:val="center"/>
      <w:outlineLvl w:val="9"/>
    </w:pPr>
    <w:rPr>
      <w:rFonts w:ascii="Times New Roman" w:hAnsi="Times New Roman"/>
      <w:b/>
      <w:caps/>
    </w:rPr>
  </w:style>
  <w:style w:type="paragraph" w:customStyle="1" w:styleId="DMUHead3">
    <w:name w:val="DMUHead3"/>
    <w:basedOn w:val="BaseHeading"/>
    <w:rsid w:val="00BB3900"/>
    <w:pPr>
      <w:jc w:val="center"/>
      <w:outlineLvl w:val="9"/>
    </w:pPr>
    <w:rPr>
      <w:rFonts w:ascii="Times New Roman" w:hAnsi="Times New Roman"/>
      <w:caps/>
    </w:rPr>
  </w:style>
  <w:style w:type="paragraph" w:customStyle="1" w:styleId="DMUHead4">
    <w:name w:val="DMUHead4"/>
    <w:basedOn w:val="BaseHeading"/>
    <w:rsid w:val="00BB3900"/>
    <w:pPr>
      <w:jc w:val="center"/>
      <w:outlineLvl w:val="9"/>
    </w:pPr>
    <w:rPr>
      <w:rFonts w:ascii="Times New Roman" w:hAnsi="Times New Roman"/>
    </w:rPr>
  </w:style>
  <w:style w:type="paragraph" w:customStyle="1" w:styleId="DMUBodyPara">
    <w:name w:val="DMUBodyPara"/>
    <w:basedOn w:val="BaseText"/>
    <w:rsid w:val="00E02CF8"/>
  </w:style>
  <w:style w:type="paragraph" w:customStyle="1" w:styleId="DMUParaCont">
    <w:name w:val="DMUParaCont"/>
    <w:basedOn w:val="BaseText"/>
    <w:rsid w:val="0006275E"/>
    <w:pPr>
      <w:ind w:left="1080"/>
    </w:pPr>
  </w:style>
  <w:style w:type="paragraph" w:customStyle="1" w:styleId="DMUHead1Back">
    <w:name w:val="DMUHead1Back"/>
    <w:basedOn w:val="DMUHead1Front"/>
    <w:rsid w:val="0081293E"/>
    <w:rPr>
      <w:sz w:val="28"/>
    </w:rPr>
  </w:style>
  <w:style w:type="paragraph" w:customStyle="1" w:styleId="DMUHead1Front">
    <w:name w:val="DMUHead1Front"/>
    <w:basedOn w:val="BaseHeading"/>
    <w:rsid w:val="00E02CF8"/>
    <w:pPr>
      <w:jc w:val="center"/>
    </w:pPr>
    <w:rPr>
      <w:rFonts w:ascii="Times New Roman" w:hAnsi="Times New Roman"/>
      <w:b/>
      <w:caps/>
    </w:rPr>
  </w:style>
  <w:style w:type="paragraph" w:customStyle="1" w:styleId="DMUHead5">
    <w:name w:val="DMUHead5"/>
    <w:basedOn w:val="BaseHeading"/>
    <w:rsid w:val="00BB3900"/>
    <w:pPr>
      <w:jc w:val="center"/>
      <w:outlineLvl w:val="9"/>
    </w:pPr>
    <w:rPr>
      <w:rFonts w:ascii="Times New Roman" w:hAnsi="Times New Roman"/>
      <w:i/>
    </w:rPr>
  </w:style>
  <w:style w:type="paragraph" w:customStyle="1" w:styleId="RefHeadFront">
    <w:name w:val="RefHeadFront"/>
    <w:basedOn w:val="RefHeadBack"/>
    <w:rsid w:val="00E02CF8"/>
  </w:style>
  <w:style w:type="paragraph" w:customStyle="1" w:styleId="RefHeadnote">
    <w:name w:val="RefHeadnote"/>
    <w:basedOn w:val="BodyText"/>
    <w:rsid w:val="00E02CF8"/>
  </w:style>
  <w:style w:type="paragraph" w:customStyle="1" w:styleId="FootnoteText1">
    <w:name w:val="Footnote Text1"/>
    <w:basedOn w:val="BaseText"/>
    <w:rsid w:val="00E02CF8"/>
    <w:pPr>
      <w:spacing w:line="240" w:lineRule="auto"/>
    </w:pPr>
  </w:style>
  <w:style w:type="paragraph" w:customStyle="1" w:styleId="Abstract">
    <w:name w:val="Abstract"/>
    <w:basedOn w:val="BaseText"/>
    <w:rsid w:val="00E02CF8"/>
    <w:pPr>
      <w:ind w:firstLine="720"/>
    </w:pPr>
  </w:style>
  <w:style w:type="paragraph" w:customStyle="1" w:styleId="AbstractHead">
    <w:name w:val="AbstractHead"/>
    <w:basedOn w:val="BaseHeading"/>
    <w:rsid w:val="00377520"/>
    <w:pPr>
      <w:spacing w:before="240" w:after="120"/>
    </w:pPr>
    <w:rPr>
      <w:b/>
      <w:sz w:val="32"/>
    </w:rPr>
  </w:style>
  <w:style w:type="paragraph" w:customStyle="1" w:styleId="AckHeadChap">
    <w:name w:val="AckHeadChap"/>
    <w:basedOn w:val="AckHeadBack"/>
    <w:rsid w:val="00E02CF8"/>
  </w:style>
  <w:style w:type="paragraph" w:customStyle="1" w:styleId="AckHeadApp">
    <w:name w:val="AckHeadApp"/>
    <w:basedOn w:val="AckHeadChap"/>
    <w:rsid w:val="00BB3900"/>
    <w:pPr>
      <w:outlineLvl w:val="9"/>
    </w:pPr>
  </w:style>
  <w:style w:type="paragraph" w:customStyle="1" w:styleId="Acknowledgments">
    <w:name w:val="Acknowledgments"/>
    <w:basedOn w:val="BaseText"/>
    <w:rsid w:val="00E02CF8"/>
    <w:rPr>
      <w:rFonts w:ascii="Arial Narrow" w:hAnsi="Arial Narrow"/>
    </w:rPr>
  </w:style>
  <w:style w:type="paragraph" w:customStyle="1" w:styleId="Affiliations">
    <w:name w:val="Affiliations"/>
    <w:basedOn w:val="BaseText"/>
    <w:rsid w:val="00E02CF8"/>
    <w:pPr>
      <w:spacing w:before="120" w:after="120" w:line="360" w:lineRule="auto"/>
    </w:pPr>
    <w:rPr>
      <w:rFonts w:ascii="Arial Narrow" w:eastAsia="Times New Roman" w:hAnsi="Arial Narrow"/>
    </w:rPr>
  </w:style>
  <w:style w:type="paragraph" w:customStyle="1" w:styleId="AppendixAuthors">
    <w:name w:val="AppendixAuthors"/>
    <w:basedOn w:val="BaseText"/>
    <w:rsid w:val="00E02CF8"/>
    <w:pPr>
      <w:spacing w:before="480" w:after="480"/>
    </w:pPr>
    <w:rPr>
      <w:rFonts w:ascii="Arial Narrow" w:hAnsi="Arial Narrow"/>
    </w:rPr>
  </w:style>
  <w:style w:type="paragraph" w:customStyle="1" w:styleId="AppendixChapAuthors">
    <w:name w:val="AppendixChapAuthors"/>
    <w:basedOn w:val="BaseText"/>
    <w:rsid w:val="00E02CF8"/>
    <w:pPr>
      <w:spacing w:before="480" w:after="480"/>
    </w:pPr>
    <w:rPr>
      <w:rFonts w:ascii="Arial Narrow" w:hAnsi="Arial Narrow"/>
    </w:rPr>
  </w:style>
  <w:style w:type="paragraph" w:customStyle="1" w:styleId="AppendixTitleChap">
    <w:name w:val="AppendixTitleChap"/>
    <w:basedOn w:val="AppendixTitle"/>
    <w:rsid w:val="00E02CF8"/>
  </w:style>
  <w:style w:type="paragraph" w:customStyle="1" w:styleId="AuthorFootnote">
    <w:name w:val="AuthorFootnote"/>
    <w:basedOn w:val="BaseText"/>
    <w:rsid w:val="00E02CF8"/>
    <w:rPr>
      <w:rFonts w:ascii="Arial Narrow" w:hAnsi="Arial Narrow"/>
    </w:rPr>
  </w:style>
  <w:style w:type="paragraph" w:customStyle="1" w:styleId="BackMatterSubhead">
    <w:name w:val="BackMatterSubhead"/>
    <w:basedOn w:val="BaseHeading"/>
    <w:rsid w:val="00E02CF8"/>
    <w:pPr>
      <w:spacing w:before="240" w:after="120"/>
      <w:outlineLvl w:val="1"/>
    </w:pPr>
    <w:rPr>
      <w:b/>
      <w:sz w:val="26"/>
    </w:rPr>
  </w:style>
  <w:style w:type="paragraph" w:customStyle="1" w:styleId="BackMatterText">
    <w:name w:val="BackMatterText"/>
    <w:basedOn w:val="BaseText"/>
    <w:rsid w:val="00E02CF8"/>
    <w:pPr>
      <w:ind w:firstLine="720"/>
    </w:pPr>
  </w:style>
  <w:style w:type="paragraph" w:customStyle="1" w:styleId="BkEditors">
    <w:name w:val="BkEditors"/>
    <w:basedOn w:val="BaseText"/>
    <w:rsid w:val="00E02CF8"/>
    <w:pPr>
      <w:spacing w:before="480" w:after="480"/>
    </w:pPr>
    <w:rPr>
      <w:rFonts w:ascii="Arial Narrow" w:hAnsi="Arial Narrow"/>
    </w:rPr>
  </w:style>
  <w:style w:type="paragraph" w:customStyle="1" w:styleId="BodyNoIndent">
    <w:name w:val="BodyNoIndent"/>
    <w:basedOn w:val="BodyText"/>
    <w:qFormat/>
    <w:rsid w:val="00E02CF8"/>
    <w:pPr>
      <w:ind w:firstLine="0"/>
    </w:pPr>
  </w:style>
  <w:style w:type="paragraph" w:customStyle="1" w:styleId="BookTitle1">
    <w:name w:val="Book Title1"/>
    <w:basedOn w:val="BaseHeading"/>
    <w:rsid w:val="00E02CF8"/>
    <w:pPr>
      <w:spacing w:before="120" w:line="240" w:lineRule="auto"/>
    </w:pPr>
    <w:rPr>
      <w:b/>
      <w:sz w:val="28"/>
    </w:rPr>
  </w:style>
  <w:style w:type="paragraph" w:customStyle="1" w:styleId="BoxBegin">
    <w:name w:val="BoxBegin"/>
    <w:basedOn w:val="BaseText"/>
    <w:rsid w:val="00E02CF8"/>
    <w:rPr>
      <w:color w:val="76923C"/>
    </w:rPr>
  </w:style>
  <w:style w:type="paragraph" w:customStyle="1" w:styleId="BoxEnd">
    <w:name w:val="BoxEnd"/>
    <w:basedOn w:val="BoxBegin"/>
    <w:rsid w:val="00E02CF8"/>
  </w:style>
  <w:style w:type="paragraph" w:customStyle="1" w:styleId="BoxHead1">
    <w:name w:val="BoxHead1"/>
    <w:basedOn w:val="Head1"/>
    <w:rsid w:val="00E02CF8"/>
    <w:pPr>
      <w:shd w:val="pct5" w:color="auto" w:fill="auto"/>
    </w:pPr>
  </w:style>
  <w:style w:type="paragraph" w:customStyle="1" w:styleId="BoxHead2">
    <w:name w:val="BoxHead2"/>
    <w:basedOn w:val="Head2"/>
    <w:rsid w:val="00E02CF8"/>
    <w:pPr>
      <w:shd w:val="pct5" w:color="auto" w:fill="auto"/>
    </w:pPr>
  </w:style>
  <w:style w:type="paragraph" w:customStyle="1" w:styleId="BoxHead3">
    <w:name w:val="BoxHead3"/>
    <w:basedOn w:val="Head3"/>
    <w:rsid w:val="00E02CF8"/>
    <w:pPr>
      <w:shd w:val="pct5" w:color="auto" w:fill="auto"/>
    </w:pPr>
  </w:style>
  <w:style w:type="paragraph" w:customStyle="1" w:styleId="BoxHead4">
    <w:name w:val="BoxHead4"/>
    <w:basedOn w:val="Head4"/>
    <w:rsid w:val="00E02CF8"/>
    <w:pPr>
      <w:shd w:val="pct5" w:color="auto" w:fill="auto"/>
    </w:pPr>
  </w:style>
  <w:style w:type="paragraph" w:customStyle="1" w:styleId="ChapAuthors">
    <w:name w:val="ChapAuthors"/>
    <w:basedOn w:val="BaseText"/>
    <w:rsid w:val="00E02CF8"/>
    <w:pPr>
      <w:spacing w:before="480" w:after="480"/>
    </w:pPr>
    <w:rPr>
      <w:rFonts w:ascii="Arial Narrow" w:hAnsi="Arial Narrow"/>
    </w:rPr>
  </w:style>
  <w:style w:type="paragraph" w:customStyle="1" w:styleId="ChapEditors">
    <w:name w:val="ChapEditors"/>
    <w:basedOn w:val="BkEditors"/>
    <w:rsid w:val="00E02CF8"/>
  </w:style>
  <w:style w:type="paragraph" w:customStyle="1" w:styleId="ChapterNum">
    <w:name w:val="ChapterNum"/>
    <w:basedOn w:val="BaseHeading"/>
    <w:rsid w:val="00E02CF8"/>
    <w:pPr>
      <w:spacing w:before="120" w:after="240"/>
    </w:pPr>
    <w:rPr>
      <w:b/>
      <w:sz w:val="40"/>
    </w:rPr>
  </w:style>
  <w:style w:type="paragraph" w:customStyle="1" w:styleId="ChapterTitle">
    <w:name w:val="ChapterTitle"/>
    <w:basedOn w:val="ChapterNum"/>
    <w:rsid w:val="00E02CF8"/>
  </w:style>
  <w:style w:type="paragraph" w:customStyle="1" w:styleId="CitationTitle">
    <w:name w:val="CitationTitle"/>
    <w:basedOn w:val="BaseText"/>
    <w:rsid w:val="00E02CF8"/>
  </w:style>
  <w:style w:type="paragraph" w:customStyle="1" w:styleId="RefHeadSec">
    <w:name w:val="RefHeadSec"/>
    <w:basedOn w:val="RefHeadChap"/>
    <w:rsid w:val="00E02CF8"/>
    <w:rPr>
      <w:sz w:val="28"/>
    </w:rPr>
  </w:style>
  <w:style w:type="paragraph" w:customStyle="1" w:styleId="Compiler">
    <w:name w:val="Compiler"/>
    <w:basedOn w:val="BaseText"/>
    <w:rsid w:val="00E02CF8"/>
    <w:pPr>
      <w:spacing w:before="480" w:after="480"/>
    </w:pPr>
    <w:rPr>
      <w:rFonts w:ascii="Arial Narrow" w:hAnsi="Arial Narrow"/>
    </w:rPr>
  </w:style>
  <w:style w:type="paragraph" w:customStyle="1" w:styleId="CustomDisclaimer">
    <w:name w:val="CustomDisclaimer"/>
    <w:basedOn w:val="BaseText"/>
    <w:rsid w:val="00E02CF8"/>
    <w:pPr>
      <w:spacing w:before="120" w:after="120"/>
      <w:ind w:left="1728" w:right="288"/>
    </w:pPr>
  </w:style>
  <w:style w:type="paragraph" w:customStyle="1" w:styleId="DefListHead1">
    <w:name w:val="DefListHead1"/>
    <w:basedOn w:val="BaseHeading"/>
    <w:rsid w:val="00E02CF8"/>
    <w:pPr>
      <w:jc w:val="center"/>
      <w:outlineLvl w:val="1"/>
    </w:pPr>
    <w:rPr>
      <w:b/>
      <w:sz w:val="28"/>
    </w:rPr>
  </w:style>
  <w:style w:type="paragraph" w:customStyle="1" w:styleId="DefListHead2">
    <w:name w:val="DefListHead2"/>
    <w:basedOn w:val="BaseHeading"/>
    <w:rsid w:val="00E02CF8"/>
    <w:pPr>
      <w:jc w:val="center"/>
      <w:outlineLvl w:val="2"/>
    </w:pPr>
    <w:rPr>
      <w:b/>
    </w:rPr>
  </w:style>
  <w:style w:type="paragraph" w:customStyle="1" w:styleId="DefListHead3">
    <w:name w:val="DefListHead3"/>
    <w:basedOn w:val="BaseHeading"/>
    <w:rsid w:val="00E02CF8"/>
    <w:pPr>
      <w:jc w:val="center"/>
      <w:outlineLvl w:val="3"/>
    </w:pPr>
  </w:style>
  <w:style w:type="paragraph" w:customStyle="1" w:styleId="DefListHead4">
    <w:name w:val="DefListHead4"/>
    <w:basedOn w:val="BaseHeading"/>
    <w:rsid w:val="00E02CF8"/>
    <w:pPr>
      <w:jc w:val="center"/>
    </w:pPr>
    <w:rPr>
      <w:sz w:val="22"/>
    </w:rPr>
  </w:style>
  <w:style w:type="paragraph" w:customStyle="1" w:styleId="DefListItemDMU">
    <w:name w:val="DefListItemDMU"/>
    <w:basedOn w:val="BaseText"/>
    <w:rsid w:val="00E02CF8"/>
    <w:pPr>
      <w:ind w:left="720" w:hanging="720"/>
    </w:pPr>
  </w:style>
  <w:style w:type="paragraph" w:customStyle="1" w:styleId="DefListPara">
    <w:name w:val="DefListPara"/>
    <w:basedOn w:val="BodyText"/>
    <w:rsid w:val="007B10FC"/>
    <w:pPr>
      <w:ind w:firstLine="0"/>
    </w:pPr>
  </w:style>
  <w:style w:type="paragraph" w:customStyle="1" w:styleId="DefListSubhead">
    <w:name w:val="DefListSubhead"/>
    <w:basedOn w:val="BaseHeading"/>
    <w:rsid w:val="00E02CF8"/>
    <w:rPr>
      <w:b/>
    </w:rPr>
  </w:style>
  <w:style w:type="paragraph" w:customStyle="1" w:styleId="DefListSubItem">
    <w:name w:val="DefListSubItem"/>
    <w:basedOn w:val="DefListItem"/>
    <w:rsid w:val="00E02CF8"/>
    <w:pPr>
      <w:ind w:left="720"/>
    </w:pPr>
  </w:style>
  <w:style w:type="paragraph" w:customStyle="1" w:styleId="DefListSubsubhead">
    <w:name w:val="DefListSubsubhead"/>
    <w:basedOn w:val="DefListSubhead"/>
    <w:rsid w:val="00E02CF8"/>
    <w:pPr>
      <w:ind w:left="720"/>
    </w:pPr>
    <w:rPr>
      <w:sz w:val="22"/>
    </w:rPr>
  </w:style>
  <w:style w:type="paragraph" w:customStyle="1" w:styleId="FigCaptionCont">
    <w:name w:val="FigCaptionCont"/>
    <w:basedOn w:val="FigureCaption"/>
    <w:rsid w:val="00E02CF8"/>
    <w:pPr>
      <w:ind w:left="720"/>
    </w:pPr>
  </w:style>
  <w:style w:type="paragraph" w:customStyle="1" w:styleId="FigAltText">
    <w:name w:val="FigAltText"/>
    <w:basedOn w:val="FigCaptionCont"/>
    <w:rsid w:val="00E02CF8"/>
  </w:style>
  <w:style w:type="paragraph" w:customStyle="1" w:styleId="FigCaptionAddtnlPara">
    <w:name w:val="FigCaptionAddtnlPara"/>
    <w:basedOn w:val="FigCaptionCont"/>
    <w:rsid w:val="00E02CF8"/>
  </w:style>
  <w:style w:type="paragraph" w:customStyle="1" w:styleId="FigTOCTitle">
    <w:name w:val="FigTOCTitle"/>
    <w:basedOn w:val="BaseText"/>
    <w:rsid w:val="00E02CF8"/>
    <w:pPr>
      <w:ind w:left="720"/>
    </w:pPr>
    <w:rPr>
      <w:rFonts w:ascii="Arial Narrow" w:hAnsi="Arial Narrow"/>
    </w:rPr>
  </w:style>
  <w:style w:type="paragraph" w:customStyle="1" w:styleId="ForewordText">
    <w:name w:val="ForewordText"/>
    <w:basedOn w:val="BaseText"/>
    <w:rsid w:val="00E02CF8"/>
    <w:pPr>
      <w:ind w:firstLine="720"/>
    </w:pPr>
    <w:rPr>
      <w:rFonts w:ascii="Arial Narrow" w:hAnsi="Arial Narrow"/>
    </w:rPr>
  </w:style>
  <w:style w:type="paragraph" w:customStyle="1" w:styleId="ForewordTitle">
    <w:name w:val="ForewordTitle"/>
    <w:basedOn w:val="Normal"/>
    <w:rsid w:val="00E02CF8"/>
    <w:pPr>
      <w:spacing w:before="240" w:after="120"/>
      <w:outlineLvl w:val="0"/>
    </w:pPr>
    <w:rPr>
      <w:rFonts w:ascii="Arial Narrow" w:hAnsi="Arial Narrow"/>
      <w:b/>
      <w:sz w:val="32"/>
    </w:rPr>
  </w:style>
  <w:style w:type="paragraph" w:customStyle="1" w:styleId="FrontCoverText">
    <w:name w:val="FrontCoverText"/>
    <w:basedOn w:val="FigureCaption"/>
    <w:rsid w:val="00E02CF8"/>
  </w:style>
  <w:style w:type="paragraph" w:customStyle="1" w:styleId="Head6">
    <w:name w:val="Head6"/>
    <w:basedOn w:val="BaseHeading"/>
    <w:rsid w:val="00E02CF8"/>
    <w:pPr>
      <w:spacing w:before="120" w:after="120"/>
      <w:outlineLvl w:val="5"/>
    </w:pPr>
    <w:rPr>
      <w:sz w:val="22"/>
    </w:rPr>
  </w:style>
  <w:style w:type="paragraph" w:customStyle="1" w:styleId="Head7">
    <w:name w:val="Head7"/>
    <w:basedOn w:val="BaseHeading"/>
    <w:rsid w:val="00E02CF8"/>
    <w:pPr>
      <w:spacing w:before="120" w:after="120"/>
      <w:outlineLvl w:val="6"/>
    </w:pPr>
    <w:rPr>
      <w:i/>
      <w:sz w:val="22"/>
    </w:rPr>
  </w:style>
  <w:style w:type="paragraph" w:customStyle="1" w:styleId="LayoutBoxInstruct">
    <w:name w:val="LayoutBoxInstruct"/>
    <w:basedOn w:val="BaseText"/>
    <w:rsid w:val="00E02CF8"/>
    <w:rPr>
      <w:color w:val="C00000"/>
    </w:rPr>
  </w:style>
  <w:style w:type="paragraph" w:customStyle="1" w:styleId="List1Continued">
    <w:name w:val="List_1_Continued"/>
    <w:basedOn w:val="BaseText"/>
    <w:rsid w:val="00E02CF8"/>
    <w:pPr>
      <w:autoSpaceDE w:val="0"/>
      <w:autoSpaceDN w:val="0"/>
      <w:adjustRightInd w:val="0"/>
      <w:spacing w:before="120" w:line="240" w:lineRule="auto"/>
      <w:ind w:left="720" w:right="720"/>
    </w:pPr>
    <w:rPr>
      <w:rFonts w:eastAsia="Times New Roman"/>
    </w:rPr>
  </w:style>
  <w:style w:type="paragraph" w:customStyle="1" w:styleId="List2Continued">
    <w:name w:val="List_2_Continued"/>
    <w:basedOn w:val="List1Continued"/>
    <w:rsid w:val="00E02CF8"/>
    <w:pPr>
      <w:ind w:left="1080"/>
    </w:pPr>
  </w:style>
  <w:style w:type="paragraph" w:customStyle="1" w:styleId="List3Continued">
    <w:name w:val="List_3_Continued"/>
    <w:basedOn w:val="List1Continued"/>
    <w:rsid w:val="00E02CF8"/>
    <w:pPr>
      <w:ind w:left="1440"/>
    </w:pPr>
  </w:style>
  <w:style w:type="paragraph" w:customStyle="1" w:styleId="List4Continued">
    <w:name w:val="List_4_Continued"/>
    <w:basedOn w:val="List1Continued"/>
    <w:rsid w:val="00E02CF8"/>
    <w:pPr>
      <w:ind w:left="1800"/>
    </w:pPr>
  </w:style>
  <w:style w:type="paragraph" w:customStyle="1" w:styleId="List5Continued">
    <w:name w:val="List_5_Continued"/>
    <w:basedOn w:val="List4Continued"/>
    <w:rsid w:val="00E02CF8"/>
    <w:pPr>
      <w:ind w:left="2160"/>
    </w:pPr>
  </w:style>
  <w:style w:type="paragraph" w:customStyle="1" w:styleId="NumBulList5">
    <w:name w:val="Num_Bul_List_5"/>
    <w:basedOn w:val="NumBulList4"/>
    <w:rsid w:val="0081293E"/>
    <w:pPr>
      <w:ind w:left="2160"/>
    </w:pPr>
  </w:style>
  <w:style w:type="paragraph" w:customStyle="1" w:styleId="PhotoCredit">
    <w:name w:val="PhotoCredit"/>
    <w:basedOn w:val="BaseText"/>
    <w:rsid w:val="00E02CF8"/>
    <w:pPr>
      <w:spacing w:after="240"/>
    </w:pPr>
    <w:rPr>
      <w:rFonts w:ascii="Arial Narrow" w:hAnsi="Arial Narrow"/>
    </w:rPr>
  </w:style>
  <w:style w:type="paragraph" w:customStyle="1" w:styleId="PrefaceText">
    <w:name w:val="PrefaceText"/>
    <w:basedOn w:val="BaseText"/>
    <w:rsid w:val="00E02CF8"/>
    <w:pPr>
      <w:ind w:firstLine="720"/>
    </w:pPr>
    <w:rPr>
      <w:rFonts w:ascii="Arial Narrow" w:hAnsi="Arial Narrow"/>
    </w:rPr>
  </w:style>
  <w:style w:type="paragraph" w:customStyle="1" w:styleId="PrefaceTitle">
    <w:name w:val="PrefaceTitle"/>
    <w:basedOn w:val="FrontMatterHead"/>
    <w:rsid w:val="00E02CF8"/>
  </w:style>
  <w:style w:type="paragraph" w:customStyle="1" w:styleId="Preformat">
    <w:name w:val="Preformat"/>
    <w:basedOn w:val="BaseText"/>
    <w:rsid w:val="00E02CF8"/>
    <w:pPr>
      <w:tabs>
        <w:tab w:val="left" w:pos="360"/>
        <w:tab w:val="left" w:pos="720"/>
        <w:tab w:val="left" w:pos="1080"/>
        <w:tab w:val="left" w:pos="1440"/>
        <w:tab w:val="left" w:pos="1800"/>
        <w:tab w:val="left" w:pos="2160"/>
        <w:tab w:val="left" w:pos="2520"/>
        <w:tab w:val="left" w:pos="2880"/>
      </w:tabs>
      <w:spacing w:before="120" w:line="240" w:lineRule="auto"/>
    </w:pPr>
    <w:rPr>
      <w:rFonts w:ascii="Courier New" w:eastAsia="Times New Roman" w:hAnsi="Courier New"/>
    </w:rPr>
  </w:style>
  <w:style w:type="paragraph" w:customStyle="1" w:styleId="ProgramNote">
    <w:name w:val="ProgramNote"/>
    <w:basedOn w:val="Collaborator"/>
    <w:rsid w:val="00E02CF8"/>
  </w:style>
  <w:style w:type="paragraph" w:customStyle="1" w:styleId="RptSubtitle">
    <w:name w:val="RptSubtitle"/>
    <w:basedOn w:val="BaseHeading"/>
    <w:rsid w:val="00E02CF8"/>
    <w:pPr>
      <w:spacing w:before="120" w:after="120"/>
      <w:outlineLvl w:val="9"/>
    </w:pPr>
    <w:rPr>
      <w:b/>
      <w:sz w:val="32"/>
    </w:rPr>
  </w:style>
  <w:style w:type="paragraph" w:customStyle="1" w:styleId="RunningHeadTitle">
    <w:name w:val="RunningHeadTitle"/>
    <w:basedOn w:val="BaseText"/>
    <w:rsid w:val="00E02CF8"/>
  </w:style>
  <w:style w:type="paragraph" w:customStyle="1" w:styleId="SecAuthors">
    <w:name w:val="SecAuthors"/>
    <w:basedOn w:val="ChapAuthors"/>
    <w:rsid w:val="00E02CF8"/>
  </w:style>
  <w:style w:type="paragraph" w:customStyle="1" w:styleId="SectionTitle">
    <w:name w:val="SectionTitle"/>
    <w:basedOn w:val="BaseHeading"/>
    <w:rsid w:val="00E02CF8"/>
    <w:pPr>
      <w:spacing w:before="240" w:after="120"/>
    </w:pPr>
    <w:rPr>
      <w:b/>
      <w:sz w:val="32"/>
    </w:rPr>
  </w:style>
  <w:style w:type="paragraph" w:customStyle="1" w:styleId="SeriesTitle">
    <w:name w:val="SeriesTitle"/>
    <w:basedOn w:val="BookTitle1"/>
    <w:rsid w:val="00E02CF8"/>
  </w:style>
  <w:style w:type="paragraph" w:customStyle="1" w:styleId="Sidebar">
    <w:name w:val="Sidebar"/>
    <w:basedOn w:val="BaseText"/>
    <w:rsid w:val="00E02CF8"/>
    <w:pPr>
      <w:shd w:val="pct5" w:color="auto" w:fill="auto"/>
      <w:ind w:firstLine="720"/>
    </w:pPr>
  </w:style>
  <w:style w:type="paragraph" w:customStyle="1" w:styleId="SidebarTitle">
    <w:name w:val="SidebarTitle"/>
    <w:basedOn w:val="BaseHeading"/>
    <w:rsid w:val="00E02CF8"/>
    <w:pPr>
      <w:shd w:val="pct5" w:color="auto" w:fill="auto"/>
      <w:spacing w:before="240" w:after="120"/>
    </w:pPr>
    <w:rPr>
      <w:b/>
    </w:rPr>
  </w:style>
  <w:style w:type="paragraph" w:customStyle="1" w:styleId="SigBlock">
    <w:name w:val="SigBlock"/>
    <w:basedOn w:val="BaseText"/>
    <w:rsid w:val="00E02CF8"/>
    <w:pPr>
      <w:spacing w:before="240" w:after="120"/>
      <w:ind w:left="2160" w:right="720"/>
    </w:pPr>
    <w:rPr>
      <w:rFonts w:ascii="Arial Narrow" w:hAnsi="Arial Narrow"/>
    </w:rPr>
  </w:style>
  <w:style w:type="paragraph" w:styleId="Revision">
    <w:name w:val="Revision"/>
    <w:hidden/>
    <w:uiPriority w:val="99"/>
    <w:semiHidden/>
    <w:rsid w:val="00A018CD"/>
    <w:pPr>
      <w:spacing w:after="0" w:line="240" w:lineRule="auto"/>
    </w:pPr>
  </w:style>
  <w:style w:type="paragraph" w:customStyle="1" w:styleId="fptitle">
    <w:name w:val="fp_title"/>
    <w:basedOn w:val="Normal"/>
    <w:rsid w:val="00644D11"/>
    <w:pPr>
      <w:spacing w:after="240" w:line="240" w:lineRule="auto"/>
      <w:jc w:val="center"/>
    </w:pPr>
    <w:rPr>
      <w:rFonts w:ascii="Arial Narrow" w:hAnsi="Arial Narrow" w:cs="Arial"/>
      <w:b/>
      <w:sz w:val="28"/>
      <w:szCs w:val="28"/>
    </w:rPr>
  </w:style>
  <w:style w:type="paragraph" w:customStyle="1" w:styleId="fpnote">
    <w:name w:val="fp_note"/>
    <w:basedOn w:val="Normal"/>
    <w:rsid w:val="007E4DB7"/>
    <w:pPr>
      <w:spacing w:after="360" w:line="240" w:lineRule="auto"/>
    </w:pPr>
    <w:rPr>
      <w:rFonts w:ascii="Arial Narrow" w:hAnsi="Arial Narrow" w:cs="Arial"/>
    </w:rPr>
  </w:style>
  <w:style w:type="paragraph" w:customStyle="1" w:styleId="fpitem">
    <w:name w:val="fp_item"/>
    <w:basedOn w:val="Normal"/>
    <w:rsid w:val="007E4DB7"/>
    <w:pPr>
      <w:spacing w:line="240" w:lineRule="auto"/>
    </w:pPr>
  </w:style>
  <w:style w:type="paragraph" w:customStyle="1" w:styleId="fpbullet">
    <w:name w:val="fp_bullet"/>
    <w:basedOn w:val="Normal"/>
    <w:rsid w:val="00135C91"/>
    <w:pPr>
      <w:spacing w:before="120" w:after="80" w:line="240" w:lineRule="auto"/>
      <w:ind w:left="720"/>
    </w:pPr>
    <w:rPr>
      <w:rFonts w:ascii="Arial Narrow" w:hAnsi="Arial Narrow"/>
    </w:rPr>
  </w:style>
  <w:style w:type="paragraph" w:customStyle="1" w:styleId="fpitem2">
    <w:name w:val="fp_item2"/>
    <w:basedOn w:val="Normal"/>
    <w:rsid w:val="00463992"/>
    <w:pPr>
      <w:spacing w:after="120" w:line="240" w:lineRule="auto"/>
      <w:ind w:left="634"/>
    </w:pPr>
    <w:rPr>
      <w:sz w:val="20"/>
    </w:rPr>
  </w:style>
  <w:style w:type="paragraph" w:customStyle="1" w:styleId="fpbullet2">
    <w:name w:val="fp_bullet2"/>
    <w:basedOn w:val="Normal"/>
    <w:rsid w:val="00E02CF8"/>
    <w:pPr>
      <w:spacing w:after="80" w:line="240" w:lineRule="auto"/>
      <w:ind w:left="634"/>
    </w:pPr>
    <w:rPr>
      <w:sz w:val="20"/>
    </w:rPr>
  </w:style>
  <w:style w:type="paragraph" w:customStyle="1" w:styleId="fpfootnote2">
    <w:name w:val="fp_footnote2"/>
    <w:basedOn w:val="FootnoteText1"/>
    <w:rsid w:val="00463992"/>
    <w:pPr>
      <w:ind w:left="432"/>
    </w:pPr>
    <w:rPr>
      <w:sz w:val="18"/>
    </w:rPr>
  </w:style>
  <w:style w:type="paragraph" w:customStyle="1" w:styleId="fpfootnote">
    <w:name w:val="fp_footnote"/>
    <w:rsid w:val="002762F1"/>
    <w:pPr>
      <w:spacing w:after="0" w:line="240" w:lineRule="auto"/>
    </w:pPr>
    <w:rPr>
      <w:rFonts w:eastAsia="Calibri" w:cs="Times New Roman"/>
      <w:sz w:val="20"/>
    </w:rPr>
  </w:style>
  <w:style w:type="character" w:customStyle="1" w:styleId="afaddr-line">
    <w:name w:val="af_addr-line"/>
    <w:rsid w:val="00E02CF8"/>
    <w:rPr>
      <w:bdr w:val="none" w:sz="0" w:space="0" w:color="auto"/>
      <w:shd w:val="clear" w:color="auto" w:fill="FFFF99"/>
    </w:rPr>
  </w:style>
  <w:style w:type="character" w:customStyle="1" w:styleId="afbase">
    <w:name w:val="af_base"/>
    <w:rsid w:val="00E02CF8"/>
  </w:style>
  <w:style w:type="character" w:customStyle="1" w:styleId="afcity">
    <w:name w:val="af_city"/>
    <w:rsid w:val="00E02CF8"/>
    <w:rPr>
      <w:bdr w:val="none" w:sz="0" w:space="0" w:color="auto"/>
      <w:shd w:val="clear" w:color="auto" w:fill="81E7FF"/>
    </w:rPr>
  </w:style>
  <w:style w:type="character" w:customStyle="1" w:styleId="afcountry">
    <w:name w:val="af_country"/>
    <w:rsid w:val="00E02CF8"/>
    <w:rPr>
      <w:bdr w:val="none" w:sz="0" w:space="0" w:color="auto"/>
      <w:shd w:val="clear" w:color="auto" w:fill="D7AFFF"/>
    </w:rPr>
  </w:style>
  <w:style w:type="character" w:customStyle="1" w:styleId="affax">
    <w:name w:val="af_fax"/>
    <w:rsid w:val="00E02CF8"/>
    <w:rPr>
      <w:bdr w:val="none" w:sz="0" w:space="0" w:color="auto"/>
      <w:shd w:val="clear" w:color="auto" w:fill="81E7FF"/>
    </w:rPr>
  </w:style>
  <w:style w:type="character" w:customStyle="1" w:styleId="afinstitution">
    <w:name w:val="af_institution"/>
    <w:rsid w:val="00E02CF8"/>
    <w:rPr>
      <w:bdr w:val="none" w:sz="0" w:space="0" w:color="auto"/>
      <w:shd w:val="clear" w:color="auto" w:fill="75FF75"/>
    </w:rPr>
  </w:style>
  <w:style w:type="character" w:customStyle="1" w:styleId="afphone">
    <w:name w:val="af_phone"/>
    <w:rsid w:val="00E02CF8"/>
    <w:rPr>
      <w:bdr w:val="none" w:sz="0" w:space="0" w:color="auto"/>
      <w:shd w:val="clear" w:color="auto" w:fill="FF75FF"/>
    </w:rPr>
  </w:style>
  <w:style w:type="character" w:customStyle="1" w:styleId="afpostcode">
    <w:name w:val="af_postcode"/>
    <w:rsid w:val="00E02CF8"/>
    <w:rPr>
      <w:bdr w:val="none" w:sz="0" w:space="0" w:color="auto"/>
      <w:shd w:val="clear" w:color="auto" w:fill="FF75FF"/>
    </w:rPr>
  </w:style>
  <w:style w:type="character" w:customStyle="1" w:styleId="afstate">
    <w:name w:val="af_state"/>
    <w:rsid w:val="00E02CF8"/>
    <w:rPr>
      <w:bdr w:val="none" w:sz="0" w:space="0" w:color="auto"/>
      <w:shd w:val="clear" w:color="auto" w:fill="75FF75"/>
    </w:rPr>
  </w:style>
  <w:style w:type="character" w:customStyle="1" w:styleId="aubase">
    <w:name w:val="au_base"/>
    <w:rsid w:val="00E02CF8"/>
  </w:style>
  <w:style w:type="character" w:customStyle="1" w:styleId="aucollab">
    <w:name w:val="au_collab"/>
    <w:rsid w:val="00E02CF8"/>
    <w:rPr>
      <w:bdr w:val="none" w:sz="0" w:space="0" w:color="auto"/>
      <w:shd w:val="clear" w:color="auto" w:fill="C0C0C0"/>
    </w:rPr>
  </w:style>
  <w:style w:type="character" w:customStyle="1" w:styleId="audeg">
    <w:name w:val="au_deg"/>
    <w:rsid w:val="00E02CF8"/>
    <w:rPr>
      <w:bdr w:val="none" w:sz="0" w:space="0" w:color="auto"/>
      <w:shd w:val="clear" w:color="auto" w:fill="FFFF00"/>
    </w:rPr>
  </w:style>
  <w:style w:type="character" w:customStyle="1" w:styleId="aufname">
    <w:name w:val="au_fname"/>
    <w:rsid w:val="00E02CF8"/>
    <w:rPr>
      <w:bdr w:val="none" w:sz="0" w:space="0" w:color="auto"/>
      <w:shd w:val="clear" w:color="auto" w:fill="FFFFCC"/>
    </w:rPr>
  </w:style>
  <w:style w:type="character" w:customStyle="1" w:styleId="aumember">
    <w:name w:val="au_member"/>
    <w:rsid w:val="00E02CF8"/>
    <w:rPr>
      <w:bdr w:val="none" w:sz="0" w:space="0" w:color="auto"/>
      <w:shd w:val="clear" w:color="auto" w:fill="FF99CC"/>
    </w:rPr>
  </w:style>
  <w:style w:type="character" w:customStyle="1" w:styleId="auprefix">
    <w:name w:val="au_prefix"/>
    <w:rsid w:val="00E02CF8"/>
    <w:rPr>
      <w:bdr w:val="none" w:sz="0" w:space="0" w:color="auto"/>
      <w:shd w:val="clear" w:color="auto" w:fill="FFCC99"/>
    </w:rPr>
  </w:style>
  <w:style w:type="character" w:customStyle="1" w:styleId="aurole">
    <w:name w:val="au_role"/>
    <w:rsid w:val="00E02CF8"/>
    <w:rPr>
      <w:bdr w:val="none" w:sz="0" w:space="0" w:color="auto"/>
      <w:shd w:val="clear" w:color="auto" w:fill="808000"/>
    </w:rPr>
  </w:style>
  <w:style w:type="character" w:customStyle="1" w:styleId="ausuffix">
    <w:name w:val="au_suffix"/>
    <w:rsid w:val="00E02CF8"/>
    <w:rPr>
      <w:bdr w:val="none" w:sz="0" w:space="0" w:color="auto"/>
      <w:shd w:val="clear" w:color="auto" w:fill="FF00FF"/>
    </w:rPr>
  </w:style>
  <w:style w:type="character" w:customStyle="1" w:styleId="ausurname">
    <w:name w:val="au_surname"/>
    <w:rsid w:val="00E02CF8"/>
    <w:rPr>
      <w:bdr w:val="none" w:sz="0" w:space="0" w:color="auto"/>
      <w:shd w:val="clear" w:color="auto" w:fill="CCFF99"/>
    </w:rPr>
  </w:style>
  <w:style w:type="character" w:customStyle="1" w:styleId="bibaccess-date">
    <w:name w:val="bib_access-date"/>
    <w:rsid w:val="00E02CF8"/>
    <w:rPr>
      <w:bdr w:val="none" w:sz="0" w:space="0" w:color="auto"/>
      <w:shd w:val="clear" w:color="auto" w:fill="C099F9"/>
    </w:rPr>
  </w:style>
  <w:style w:type="character" w:customStyle="1" w:styleId="bibalt-year">
    <w:name w:val="bib_alt-year"/>
    <w:rsid w:val="00E02CF8"/>
    <w:rPr>
      <w:szCs w:val="24"/>
      <w:bdr w:val="none" w:sz="0" w:space="0" w:color="auto"/>
      <w:shd w:val="clear" w:color="auto" w:fill="FEB8FB"/>
    </w:rPr>
  </w:style>
  <w:style w:type="character" w:customStyle="1" w:styleId="bibarticle">
    <w:name w:val="bib_article"/>
    <w:rsid w:val="00E02CF8"/>
    <w:rPr>
      <w:bdr w:val="none" w:sz="0" w:space="0" w:color="auto"/>
      <w:shd w:val="clear" w:color="auto" w:fill="CCFFFF"/>
    </w:rPr>
  </w:style>
  <w:style w:type="character" w:customStyle="1" w:styleId="bibbase">
    <w:name w:val="bib_base"/>
    <w:rsid w:val="00E02CF8"/>
  </w:style>
  <w:style w:type="character" w:customStyle="1" w:styleId="bibbook">
    <w:name w:val="bib_book"/>
    <w:rsid w:val="00E02CF8"/>
    <w:rPr>
      <w:bdr w:val="none" w:sz="0" w:space="0" w:color="auto"/>
      <w:shd w:val="clear" w:color="auto" w:fill="99CCFF"/>
    </w:rPr>
  </w:style>
  <w:style w:type="character" w:customStyle="1" w:styleId="bibchapterno">
    <w:name w:val="bib_chapterno"/>
    <w:rsid w:val="00E02CF8"/>
    <w:rPr>
      <w:bdr w:val="none" w:sz="0" w:space="0" w:color="auto"/>
      <w:shd w:val="clear" w:color="auto" w:fill="D9D9D9"/>
    </w:rPr>
  </w:style>
  <w:style w:type="character" w:customStyle="1" w:styleId="bibchaptertitle">
    <w:name w:val="bib_chaptertitle"/>
    <w:rsid w:val="00E02CF8"/>
    <w:rPr>
      <w:bdr w:val="none" w:sz="0" w:space="0" w:color="auto"/>
      <w:shd w:val="clear" w:color="auto" w:fill="FF9D5B"/>
    </w:rPr>
  </w:style>
  <w:style w:type="character" w:customStyle="1" w:styleId="bibcomment">
    <w:name w:val="bib_comment"/>
    <w:rsid w:val="00E02CF8"/>
    <w:rPr>
      <w:bdr w:val="none" w:sz="0" w:space="0" w:color="auto"/>
      <w:shd w:val="clear" w:color="auto" w:fill="E0E0E0"/>
    </w:rPr>
  </w:style>
  <w:style w:type="character" w:customStyle="1" w:styleId="bibconfacronym">
    <w:name w:val="bib_confacronym"/>
    <w:rsid w:val="00E02CF8"/>
    <w:rPr>
      <w:bdr w:val="none" w:sz="0" w:space="0" w:color="auto"/>
      <w:shd w:val="clear" w:color="auto" w:fill="FD77F3"/>
    </w:rPr>
  </w:style>
  <w:style w:type="character" w:customStyle="1" w:styleId="bibconfdate">
    <w:name w:val="bib_confdate"/>
    <w:rsid w:val="00E02CF8"/>
    <w:rPr>
      <w:bdr w:val="none" w:sz="0" w:space="0" w:color="auto"/>
      <w:shd w:val="clear" w:color="auto" w:fill="3CE0C1"/>
    </w:rPr>
  </w:style>
  <w:style w:type="character" w:customStyle="1" w:styleId="bibconference">
    <w:name w:val="bib_conference"/>
    <w:rsid w:val="00E02CF8"/>
    <w:rPr>
      <w:bdr w:val="none" w:sz="0" w:space="0" w:color="auto"/>
      <w:shd w:val="clear" w:color="auto" w:fill="9CB3FE"/>
    </w:rPr>
  </w:style>
  <w:style w:type="character" w:customStyle="1" w:styleId="bibconflocation">
    <w:name w:val="bib_conflocation"/>
    <w:rsid w:val="00E02CF8"/>
    <w:rPr>
      <w:bdr w:val="none" w:sz="0" w:space="0" w:color="auto"/>
      <w:shd w:val="clear" w:color="auto" w:fill="EC493C"/>
    </w:rPr>
  </w:style>
  <w:style w:type="character" w:customStyle="1" w:styleId="bibconfpaper">
    <w:name w:val="bib_confpaper"/>
    <w:rsid w:val="00E02CF8"/>
    <w:rPr>
      <w:bdr w:val="none" w:sz="0" w:space="0" w:color="auto"/>
      <w:shd w:val="clear" w:color="auto" w:fill="61FF65"/>
    </w:rPr>
  </w:style>
  <w:style w:type="character" w:customStyle="1" w:styleId="bibconfproceedings">
    <w:name w:val="bib_confproceedings"/>
    <w:rsid w:val="00E02CF8"/>
    <w:rPr>
      <w:bdr w:val="none" w:sz="0" w:space="0" w:color="auto"/>
      <w:shd w:val="clear" w:color="auto" w:fill="FDBA35"/>
    </w:rPr>
  </w:style>
  <w:style w:type="character" w:customStyle="1" w:styleId="bibday">
    <w:name w:val="bib_day"/>
    <w:rsid w:val="00E02CF8"/>
    <w:rPr>
      <w:bdr w:val="none" w:sz="0" w:space="0" w:color="auto"/>
      <w:shd w:val="clear" w:color="auto" w:fill="FFFF66"/>
    </w:rPr>
  </w:style>
  <w:style w:type="character" w:customStyle="1" w:styleId="bibdoi">
    <w:name w:val="bib_doi"/>
    <w:rsid w:val="00E02CF8"/>
    <w:rPr>
      <w:bdr w:val="none" w:sz="0" w:space="0" w:color="auto"/>
      <w:shd w:val="clear" w:color="auto" w:fill="CCFFCC"/>
    </w:rPr>
  </w:style>
  <w:style w:type="character" w:customStyle="1" w:styleId="bibed-etal">
    <w:name w:val="bib_ed-etal"/>
    <w:rsid w:val="00E02CF8"/>
    <w:rPr>
      <w:bdr w:val="none" w:sz="0" w:space="0" w:color="auto"/>
      <w:shd w:val="clear" w:color="auto" w:fill="00F4EE"/>
    </w:rPr>
  </w:style>
  <w:style w:type="character" w:customStyle="1" w:styleId="bibed-fname">
    <w:name w:val="bib_ed-fname"/>
    <w:rsid w:val="00E02CF8"/>
    <w:rPr>
      <w:bdr w:val="none" w:sz="0" w:space="0" w:color="auto"/>
      <w:shd w:val="clear" w:color="auto" w:fill="FFFFB7"/>
    </w:rPr>
  </w:style>
  <w:style w:type="character" w:customStyle="1" w:styleId="bibeditionno">
    <w:name w:val="bib_editionno"/>
    <w:rsid w:val="00E02CF8"/>
    <w:rPr>
      <w:bdr w:val="none" w:sz="0" w:space="0" w:color="auto"/>
      <w:shd w:val="clear" w:color="auto" w:fill="FFCC00"/>
    </w:rPr>
  </w:style>
  <w:style w:type="character" w:customStyle="1" w:styleId="bibed-organization">
    <w:name w:val="bib_ed-organization"/>
    <w:rsid w:val="00E02CF8"/>
    <w:rPr>
      <w:bdr w:val="none" w:sz="0" w:space="0" w:color="auto"/>
      <w:shd w:val="clear" w:color="auto" w:fill="FCAAC3"/>
    </w:rPr>
  </w:style>
  <w:style w:type="character" w:customStyle="1" w:styleId="bibed-suffix">
    <w:name w:val="bib_ed-suffix"/>
    <w:rsid w:val="00E02CF8"/>
    <w:rPr>
      <w:bdr w:val="none" w:sz="0" w:space="0" w:color="auto"/>
      <w:shd w:val="clear" w:color="auto" w:fill="CCFFCC"/>
    </w:rPr>
  </w:style>
  <w:style w:type="character" w:customStyle="1" w:styleId="bibed-surname">
    <w:name w:val="bib_ed-surname"/>
    <w:rsid w:val="00E02CF8"/>
    <w:rPr>
      <w:bdr w:val="none" w:sz="0" w:space="0" w:color="auto"/>
      <w:shd w:val="clear" w:color="auto" w:fill="FFFF00"/>
    </w:rPr>
  </w:style>
  <w:style w:type="character" w:customStyle="1" w:styleId="bibetal">
    <w:name w:val="bib_etal"/>
    <w:rsid w:val="00E02CF8"/>
    <w:rPr>
      <w:bdr w:val="none" w:sz="0" w:space="0" w:color="auto"/>
      <w:shd w:val="clear" w:color="auto" w:fill="CCFF99"/>
    </w:rPr>
  </w:style>
  <w:style w:type="character" w:customStyle="1" w:styleId="bibextlink">
    <w:name w:val="bib_extlink"/>
    <w:rsid w:val="00E02CF8"/>
    <w:rPr>
      <w:bdr w:val="none" w:sz="0" w:space="0" w:color="auto"/>
      <w:shd w:val="clear" w:color="auto" w:fill="6CCE9D"/>
    </w:rPr>
  </w:style>
  <w:style w:type="character" w:customStyle="1" w:styleId="bibfname">
    <w:name w:val="bib_fname"/>
    <w:rsid w:val="00E02CF8"/>
    <w:rPr>
      <w:bdr w:val="none" w:sz="0" w:space="0" w:color="auto"/>
      <w:shd w:val="clear" w:color="auto" w:fill="FFFFCC"/>
    </w:rPr>
  </w:style>
  <w:style w:type="character" w:customStyle="1" w:styleId="bibfpage">
    <w:name w:val="bib_fpage"/>
    <w:rsid w:val="00E02CF8"/>
    <w:rPr>
      <w:bdr w:val="none" w:sz="0" w:space="0" w:color="auto"/>
      <w:shd w:val="clear" w:color="auto" w:fill="E6E6E6"/>
    </w:rPr>
  </w:style>
  <w:style w:type="character" w:customStyle="1" w:styleId="bibinstitution">
    <w:name w:val="bib_institution"/>
    <w:rsid w:val="00E02CF8"/>
    <w:rPr>
      <w:bdr w:val="none" w:sz="0" w:space="0" w:color="auto"/>
      <w:shd w:val="clear" w:color="auto" w:fill="CCFFCC"/>
    </w:rPr>
  </w:style>
  <w:style w:type="character" w:customStyle="1" w:styleId="bibisbn">
    <w:name w:val="bib_isbn"/>
    <w:rsid w:val="00E02CF8"/>
    <w:rPr>
      <w:shd w:val="clear" w:color="auto" w:fill="D9D9D9"/>
    </w:rPr>
  </w:style>
  <w:style w:type="character" w:customStyle="1" w:styleId="bibissue">
    <w:name w:val="bib_issue"/>
    <w:rsid w:val="00E02CF8"/>
    <w:rPr>
      <w:bdr w:val="none" w:sz="0" w:space="0" w:color="auto"/>
      <w:shd w:val="clear" w:color="auto" w:fill="FFFFAB"/>
    </w:rPr>
  </w:style>
  <w:style w:type="character" w:customStyle="1" w:styleId="bibjournal">
    <w:name w:val="bib_journal"/>
    <w:rsid w:val="00E02CF8"/>
    <w:rPr>
      <w:bdr w:val="none" w:sz="0" w:space="0" w:color="auto"/>
      <w:shd w:val="clear" w:color="auto" w:fill="F9DECF"/>
    </w:rPr>
  </w:style>
  <w:style w:type="character" w:customStyle="1" w:styleId="biblocation">
    <w:name w:val="bib_location"/>
    <w:rsid w:val="00E02CF8"/>
    <w:rPr>
      <w:bdr w:val="none" w:sz="0" w:space="0" w:color="auto"/>
      <w:shd w:val="clear" w:color="auto" w:fill="FFCCCC"/>
    </w:rPr>
  </w:style>
  <w:style w:type="character" w:customStyle="1" w:styleId="biblpage">
    <w:name w:val="bib_lpage"/>
    <w:rsid w:val="00E02CF8"/>
    <w:rPr>
      <w:bdr w:val="none" w:sz="0" w:space="0" w:color="auto"/>
      <w:shd w:val="clear" w:color="auto" w:fill="D9D9D9"/>
    </w:rPr>
  </w:style>
  <w:style w:type="character" w:customStyle="1" w:styleId="bibmedline">
    <w:name w:val="bib_medline"/>
    <w:rsid w:val="00E02CF8"/>
  </w:style>
  <w:style w:type="character" w:customStyle="1" w:styleId="bibmonth">
    <w:name w:val="bib_month"/>
    <w:rsid w:val="00E02CF8"/>
    <w:rPr>
      <w:szCs w:val="24"/>
      <w:bdr w:val="none" w:sz="0" w:space="0" w:color="auto"/>
      <w:shd w:val="clear" w:color="auto" w:fill="CCFF33"/>
    </w:rPr>
  </w:style>
  <w:style w:type="character" w:customStyle="1" w:styleId="bibnumber">
    <w:name w:val="bib_number"/>
    <w:rsid w:val="00E02CF8"/>
    <w:rPr>
      <w:bdr w:val="none" w:sz="0" w:space="0" w:color="auto"/>
      <w:shd w:val="clear" w:color="auto" w:fill="CCCCFF"/>
    </w:rPr>
  </w:style>
  <w:style w:type="character" w:customStyle="1" w:styleId="biborganization">
    <w:name w:val="bib_organization"/>
    <w:rsid w:val="00E02CF8"/>
    <w:rPr>
      <w:bdr w:val="none" w:sz="0" w:space="0" w:color="auto"/>
      <w:shd w:val="clear" w:color="auto" w:fill="D2B6E2"/>
    </w:rPr>
  </w:style>
  <w:style w:type="character" w:customStyle="1" w:styleId="bibpagecount">
    <w:name w:val="bib_pagecount"/>
    <w:rsid w:val="00E02CF8"/>
    <w:rPr>
      <w:bdr w:val="none" w:sz="0" w:space="0" w:color="auto"/>
      <w:shd w:val="clear" w:color="auto" w:fill="00FF00"/>
    </w:rPr>
  </w:style>
  <w:style w:type="character" w:customStyle="1" w:styleId="bibpapernumber">
    <w:name w:val="bib_papernumber"/>
    <w:rsid w:val="00E02CF8"/>
    <w:rPr>
      <w:bdr w:val="none" w:sz="0" w:space="0" w:color="auto"/>
      <w:shd w:val="clear" w:color="auto" w:fill="FFFF66"/>
    </w:rPr>
  </w:style>
  <w:style w:type="character" w:customStyle="1" w:styleId="bibpatent">
    <w:name w:val="bib_patent"/>
    <w:rsid w:val="00E02CF8"/>
    <w:rPr>
      <w:bdr w:val="none" w:sz="0" w:space="0" w:color="auto"/>
      <w:shd w:val="clear" w:color="auto" w:fill="66FFCC"/>
    </w:rPr>
  </w:style>
  <w:style w:type="character" w:customStyle="1" w:styleId="bibpublisher">
    <w:name w:val="bib_publisher"/>
    <w:rsid w:val="00E02CF8"/>
    <w:rPr>
      <w:bdr w:val="none" w:sz="0" w:space="0" w:color="auto"/>
      <w:shd w:val="clear" w:color="auto" w:fill="FF99CC"/>
    </w:rPr>
  </w:style>
  <w:style w:type="character" w:customStyle="1" w:styleId="bibreportnum">
    <w:name w:val="bib_reportnum"/>
    <w:rsid w:val="00E02CF8"/>
    <w:rPr>
      <w:bdr w:val="none" w:sz="0" w:space="0" w:color="auto"/>
      <w:shd w:val="clear" w:color="auto" w:fill="CCCCFF"/>
    </w:rPr>
  </w:style>
  <w:style w:type="character" w:customStyle="1" w:styleId="bibschool">
    <w:name w:val="bib_school"/>
    <w:rsid w:val="00E02CF8"/>
    <w:rPr>
      <w:bdr w:val="none" w:sz="0" w:space="0" w:color="auto"/>
      <w:shd w:val="clear" w:color="auto" w:fill="FFCC66"/>
    </w:rPr>
  </w:style>
  <w:style w:type="character" w:customStyle="1" w:styleId="bibseries">
    <w:name w:val="bib_series"/>
    <w:rsid w:val="00E02CF8"/>
    <w:rPr>
      <w:shd w:val="clear" w:color="auto" w:fill="FFCC99"/>
    </w:rPr>
  </w:style>
  <w:style w:type="character" w:customStyle="1" w:styleId="bibseriesno">
    <w:name w:val="bib_seriesno"/>
    <w:rsid w:val="00E02CF8"/>
    <w:rPr>
      <w:shd w:val="clear" w:color="auto" w:fill="FFFF99"/>
    </w:rPr>
  </w:style>
  <w:style w:type="character" w:customStyle="1" w:styleId="bibsubnum">
    <w:name w:val="bib_subnum"/>
    <w:rsid w:val="00E02CF8"/>
  </w:style>
  <w:style w:type="character" w:customStyle="1" w:styleId="bibsuffix">
    <w:name w:val="bib_suffix"/>
    <w:rsid w:val="00E02CF8"/>
    <w:rPr>
      <w:bdr w:val="none" w:sz="0" w:space="0" w:color="auto"/>
      <w:shd w:val="clear" w:color="auto" w:fill="DCF4E4"/>
    </w:rPr>
  </w:style>
  <w:style w:type="character" w:customStyle="1" w:styleId="bibsuppl">
    <w:name w:val="bib_suppl"/>
    <w:rsid w:val="00E02CF8"/>
    <w:rPr>
      <w:bdr w:val="none" w:sz="0" w:space="0" w:color="auto"/>
      <w:shd w:val="clear" w:color="auto" w:fill="FFCC66"/>
    </w:rPr>
  </w:style>
  <w:style w:type="character" w:customStyle="1" w:styleId="bibsurname">
    <w:name w:val="bib_surname"/>
    <w:rsid w:val="00E02CF8"/>
    <w:rPr>
      <w:bdr w:val="none" w:sz="0" w:space="0" w:color="auto"/>
      <w:shd w:val="clear" w:color="auto" w:fill="CCFF99"/>
    </w:rPr>
  </w:style>
  <w:style w:type="character" w:customStyle="1" w:styleId="bibsurname-only">
    <w:name w:val="bib_surname-only"/>
    <w:rsid w:val="00E02CF8"/>
    <w:rPr>
      <w:rFonts w:ascii="Times New Roman" w:hAnsi="Times New Roman"/>
      <w:sz w:val="24"/>
      <w:szCs w:val="24"/>
      <w:bdr w:val="none" w:sz="0" w:space="0" w:color="auto"/>
      <w:shd w:val="clear" w:color="auto" w:fill="00FF00"/>
    </w:rPr>
  </w:style>
  <w:style w:type="character" w:customStyle="1" w:styleId="bibtitle">
    <w:name w:val="bib_title"/>
    <w:rsid w:val="00E02CF8"/>
    <w:rPr>
      <w:effect w:val="none"/>
      <w:bdr w:val="none" w:sz="0" w:space="0" w:color="auto"/>
      <w:shd w:val="clear" w:color="auto" w:fill="FF9966"/>
    </w:rPr>
  </w:style>
  <w:style w:type="character" w:customStyle="1" w:styleId="bibtrans">
    <w:name w:val="bib_trans"/>
    <w:rsid w:val="00E02CF8"/>
    <w:rPr>
      <w:shd w:val="clear" w:color="auto" w:fill="99CC00"/>
    </w:rPr>
  </w:style>
  <w:style w:type="character" w:customStyle="1" w:styleId="bibunpubl">
    <w:name w:val="bib_unpubl"/>
    <w:rsid w:val="00E02CF8"/>
  </w:style>
  <w:style w:type="character" w:customStyle="1" w:styleId="biburl">
    <w:name w:val="bib_url"/>
    <w:rsid w:val="00E02CF8"/>
    <w:rPr>
      <w:bdr w:val="none" w:sz="0" w:space="0" w:color="auto"/>
      <w:shd w:val="clear" w:color="auto" w:fill="CCFF66"/>
    </w:rPr>
  </w:style>
  <w:style w:type="character" w:customStyle="1" w:styleId="bibvolcount">
    <w:name w:val="bib_volcount"/>
    <w:rsid w:val="00E02CF8"/>
    <w:rPr>
      <w:bdr w:val="none" w:sz="0" w:space="0" w:color="auto"/>
      <w:shd w:val="clear" w:color="auto" w:fill="00FF00"/>
    </w:rPr>
  </w:style>
  <w:style w:type="character" w:customStyle="1" w:styleId="bibvolume">
    <w:name w:val="bib_volume"/>
    <w:rsid w:val="00E02CF8"/>
    <w:rPr>
      <w:bdr w:val="none" w:sz="0" w:space="0" w:color="auto"/>
      <w:shd w:val="clear" w:color="auto" w:fill="CCECFF"/>
    </w:rPr>
  </w:style>
  <w:style w:type="character" w:customStyle="1" w:styleId="bibyear">
    <w:name w:val="bib_year"/>
    <w:rsid w:val="00E02CF8"/>
    <w:rPr>
      <w:bdr w:val="none" w:sz="0" w:space="0" w:color="auto"/>
      <w:shd w:val="clear" w:color="auto" w:fill="FFCCFF"/>
    </w:rPr>
  </w:style>
  <w:style w:type="character" w:customStyle="1" w:styleId="citeapp">
    <w:name w:val="cite_app"/>
    <w:rsid w:val="00E02CF8"/>
    <w:rPr>
      <w:bdr w:val="none" w:sz="0" w:space="0" w:color="auto"/>
      <w:shd w:val="clear" w:color="auto" w:fill="CCFF33"/>
    </w:rPr>
  </w:style>
  <w:style w:type="character" w:customStyle="1" w:styleId="citebase">
    <w:name w:val="cite_base"/>
    <w:rsid w:val="00E02CF8"/>
  </w:style>
  <w:style w:type="character" w:customStyle="1" w:styleId="citebib">
    <w:name w:val="cite_bib"/>
    <w:rsid w:val="00E02CF8"/>
    <w:rPr>
      <w:bdr w:val="none" w:sz="0" w:space="0" w:color="auto"/>
      <w:shd w:val="clear" w:color="auto" w:fill="CCFFFF"/>
    </w:rPr>
  </w:style>
  <w:style w:type="character" w:customStyle="1" w:styleId="citebox">
    <w:name w:val="cite_box"/>
    <w:rsid w:val="00E02CF8"/>
    <w:rPr>
      <w:bdr w:val="none" w:sz="0" w:space="0" w:color="auto"/>
      <w:shd w:val="clear" w:color="auto" w:fill="9999FF"/>
    </w:rPr>
  </w:style>
  <w:style w:type="character" w:customStyle="1" w:styleId="citeen">
    <w:name w:val="cite_en"/>
    <w:rsid w:val="00E02CF8"/>
    <w:rPr>
      <w:bdr w:val="none" w:sz="0" w:space="0" w:color="auto"/>
      <w:shd w:val="clear" w:color="auto" w:fill="FFFF99"/>
      <w:vertAlign w:val="superscript"/>
    </w:rPr>
  </w:style>
  <w:style w:type="character" w:customStyle="1" w:styleId="citeeq">
    <w:name w:val="cite_eq"/>
    <w:rsid w:val="00E02CF8"/>
    <w:rPr>
      <w:bdr w:val="none" w:sz="0" w:space="0" w:color="auto"/>
      <w:shd w:val="clear" w:color="auto" w:fill="FFAE37"/>
    </w:rPr>
  </w:style>
  <w:style w:type="character" w:customStyle="1" w:styleId="citefig">
    <w:name w:val="cite_fig"/>
    <w:rsid w:val="00E02CF8"/>
    <w:rPr>
      <w:color w:val="auto"/>
      <w:bdr w:val="none" w:sz="0" w:space="0" w:color="auto"/>
      <w:shd w:val="clear" w:color="auto" w:fill="CCFFCC"/>
    </w:rPr>
  </w:style>
  <w:style w:type="character" w:customStyle="1" w:styleId="citefignomove">
    <w:name w:val="cite_fig_nomove"/>
    <w:rsid w:val="00E02CF8"/>
    <w:rPr>
      <w:rFonts w:ascii="Times New Roman" w:hAnsi="Times New Roman"/>
      <w:sz w:val="19"/>
      <w:bdr w:val="none" w:sz="0" w:space="0" w:color="auto"/>
      <w:shd w:val="clear" w:color="auto" w:fill="99CC00"/>
    </w:rPr>
  </w:style>
  <w:style w:type="character" w:customStyle="1" w:styleId="citefn">
    <w:name w:val="cite_fn"/>
    <w:rsid w:val="00E02CF8"/>
    <w:rPr>
      <w:color w:val="auto"/>
      <w:bdr w:val="none" w:sz="0" w:space="0" w:color="auto"/>
      <w:shd w:val="clear" w:color="auto" w:fill="FF99CC"/>
      <w:vertAlign w:val="baseline"/>
    </w:rPr>
  </w:style>
  <w:style w:type="character" w:customStyle="1" w:styleId="citesec">
    <w:name w:val="cite_sec"/>
    <w:rsid w:val="00E02CF8"/>
    <w:rPr>
      <w:bdr w:val="none" w:sz="0" w:space="0" w:color="auto"/>
      <w:shd w:val="clear" w:color="auto" w:fill="FFCCCC"/>
    </w:rPr>
  </w:style>
  <w:style w:type="character" w:customStyle="1" w:styleId="citesection">
    <w:name w:val="cite_section"/>
    <w:rsid w:val="00E02CF8"/>
    <w:rPr>
      <w:bdr w:val="none" w:sz="0" w:space="0" w:color="auto"/>
      <w:shd w:val="clear" w:color="auto" w:fill="FF7C80"/>
    </w:rPr>
  </w:style>
  <w:style w:type="character" w:customStyle="1" w:styleId="citetbl">
    <w:name w:val="cite_tbl"/>
    <w:rsid w:val="00E02CF8"/>
    <w:rPr>
      <w:color w:val="auto"/>
      <w:bdr w:val="none" w:sz="0" w:space="0" w:color="auto"/>
      <w:shd w:val="clear" w:color="auto" w:fill="FF9999"/>
    </w:rPr>
  </w:style>
  <w:style w:type="character" w:customStyle="1" w:styleId="citetblnomove">
    <w:name w:val="cite_tbl_nomove"/>
    <w:rsid w:val="00E02CF8"/>
    <w:rPr>
      <w:rFonts w:ascii="Times New Roman" w:hAnsi="Times New Roman"/>
      <w:sz w:val="19"/>
      <w:bdr w:val="none" w:sz="0" w:space="0" w:color="auto"/>
      <w:shd w:val="clear" w:color="auto" w:fill="9966FF"/>
    </w:rPr>
  </w:style>
  <w:style w:type="character" w:customStyle="1" w:styleId="citetfn">
    <w:name w:val="cite_tfn"/>
    <w:rsid w:val="00E02CF8"/>
    <w:rPr>
      <w:bdr w:val="none" w:sz="0" w:space="0" w:color="auto"/>
      <w:shd w:val="clear" w:color="auto" w:fill="FBBA79"/>
    </w:rPr>
  </w:style>
  <w:style w:type="character" w:customStyle="1" w:styleId="CODE">
    <w:name w:val="CODE"/>
    <w:uiPriority w:val="1"/>
    <w:semiHidden/>
    <w:rsid w:val="00E02CF8"/>
    <w:rPr>
      <w:rFonts w:ascii="Courier New" w:hAnsi="Courier New"/>
      <w:szCs w:val="24"/>
    </w:rPr>
  </w:style>
  <w:style w:type="paragraph" w:customStyle="1" w:styleId="ListTitle">
    <w:name w:val="List_Title"/>
    <w:basedOn w:val="BaseHeading"/>
    <w:rsid w:val="00E02CF8"/>
    <w:pPr>
      <w:ind w:left="360"/>
    </w:pPr>
    <w:rPr>
      <w:b/>
    </w:rPr>
  </w:style>
  <w:style w:type="paragraph" w:customStyle="1" w:styleId="NotesHead">
    <w:name w:val="NotesHead"/>
    <w:basedOn w:val="BaseHeading"/>
    <w:rsid w:val="00E02CF8"/>
    <w:pPr>
      <w:ind w:left="720" w:right="720"/>
    </w:pPr>
    <w:rPr>
      <w:b/>
      <w:sz w:val="26"/>
    </w:rPr>
  </w:style>
  <w:style w:type="paragraph" w:customStyle="1" w:styleId="NotesPara">
    <w:name w:val="NotesPara"/>
    <w:basedOn w:val="BaseText"/>
    <w:rsid w:val="00291ACE"/>
  </w:style>
  <w:style w:type="paragraph" w:customStyle="1" w:styleId="PullQuote">
    <w:name w:val="PullQuote"/>
    <w:basedOn w:val="BaseText"/>
    <w:rsid w:val="00E02CF8"/>
    <w:pPr>
      <w:ind w:left="720" w:right="720"/>
    </w:pPr>
  </w:style>
  <w:style w:type="paragraph" w:customStyle="1" w:styleId="TableLegend">
    <w:name w:val="TableLegend"/>
    <w:basedOn w:val="TableFootnote"/>
    <w:rsid w:val="00E02CF8"/>
  </w:style>
  <w:style w:type="paragraph" w:customStyle="1" w:styleId="TableRef">
    <w:name w:val="TableRef"/>
    <w:basedOn w:val="Reference"/>
    <w:rsid w:val="00981E0B"/>
    <w:pPr>
      <w:spacing w:line="240" w:lineRule="auto"/>
    </w:pPr>
    <w:rPr>
      <w:sz w:val="18"/>
    </w:rPr>
  </w:style>
  <w:style w:type="paragraph" w:customStyle="1" w:styleId="TableTitleContinued">
    <w:name w:val="TableTitleContinued"/>
    <w:basedOn w:val="BaseText"/>
    <w:rsid w:val="00981E0B"/>
    <w:pPr>
      <w:spacing w:line="240" w:lineRule="auto"/>
    </w:pPr>
    <w:rPr>
      <w:rFonts w:ascii="Arial Narrow" w:hAnsi="Arial Narrow"/>
      <w:sz w:val="19"/>
    </w:rPr>
  </w:style>
  <w:style w:type="paragraph" w:customStyle="1" w:styleId="TableTOCTitle">
    <w:name w:val="TableTOCTitle"/>
    <w:basedOn w:val="BaseText"/>
    <w:rsid w:val="00981E0B"/>
    <w:rPr>
      <w:rFonts w:ascii="Arial Narrow" w:hAnsi="Arial Narrow"/>
      <w:sz w:val="19"/>
    </w:rPr>
  </w:style>
  <w:style w:type="paragraph" w:styleId="TOC1">
    <w:name w:val="toc 1"/>
    <w:basedOn w:val="BaseText"/>
    <w:autoRedefine/>
    <w:uiPriority w:val="39"/>
    <w:rsid w:val="00D31C56"/>
    <w:pPr>
      <w:tabs>
        <w:tab w:val="right" w:leader="dot" w:pos="9350"/>
      </w:tabs>
      <w:spacing w:line="240" w:lineRule="auto"/>
    </w:pPr>
    <w:rPr>
      <w:rFonts w:ascii="Arial Narrow" w:hAnsi="Arial Narrow"/>
    </w:rPr>
  </w:style>
  <w:style w:type="paragraph" w:styleId="TOC2">
    <w:name w:val="toc 2"/>
    <w:basedOn w:val="TOC1"/>
    <w:autoRedefine/>
    <w:uiPriority w:val="39"/>
    <w:rsid w:val="00D31C56"/>
    <w:pPr>
      <w:ind w:left="216"/>
    </w:pPr>
  </w:style>
  <w:style w:type="paragraph" w:styleId="TOC3">
    <w:name w:val="toc 3"/>
    <w:basedOn w:val="TOC1"/>
    <w:autoRedefine/>
    <w:uiPriority w:val="39"/>
    <w:rsid w:val="00D31C56"/>
    <w:pPr>
      <w:ind w:left="446"/>
    </w:pPr>
  </w:style>
  <w:style w:type="paragraph" w:styleId="TOC4">
    <w:name w:val="toc 4"/>
    <w:basedOn w:val="TOC1"/>
    <w:autoRedefine/>
    <w:uiPriority w:val="39"/>
    <w:rsid w:val="00D31C56"/>
    <w:pPr>
      <w:ind w:left="662"/>
    </w:pPr>
  </w:style>
  <w:style w:type="paragraph" w:styleId="TOC5">
    <w:name w:val="toc 5"/>
    <w:basedOn w:val="TOC1"/>
    <w:autoRedefine/>
    <w:uiPriority w:val="39"/>
    <w:rsid w:val="00D31C56"/>
    <w:pPr>
      <w:ind w:left="878"/>
    </w:pPr>
  </w:style>
  <w:style w:type="paragraph" w:styleId="TOC6">
    <w:name w:val="toc 6"/>
    <w:basedOn w:val="TOC1"/>
    <w:autoRedefine/>
    <w:uiPriority w:val="39"/>
    <w:rsid w:val="00D31C56"/>
    <w:pPr>
      <w:ind w:left="1195"/>
    </w:pPr>
  </w:style>
  <w:style w:type="paragraph" w:styleId="TOC7">
    <w:name w:val="toc 7"/>
    <w:basedOn w:val="Normal"/>
    <w:next w:val="Normal"/>
    <w:autoRedefine/>
    <w:uiPriority w:val="39"/>
    <w:semiHidden/>
    <w:rsid w:val="00D31C56"/>
    <w:pPr>
      <w:spacing w:after="0" w:line="240" w:lineRule="auto"/>
      <w:ind w:left="1440"/>
    </w:pPr>
    <w:rPr>
      <w:rFonts w:ascii="Arial Narrow" w:hAnsi="Arial Narrow"/>
    </w:rPr>
  </w:style>
  <w:style w:type="paragraph" w:styleId="TOC8">
    <w:name w:val="toc 8"/>
    <w:basedOn w:val="Normal"/>
    <w:next w:val="Normal"/>
    <w:autoRedefine/>
    <w:uiPriority w:val="39"/>
    <w:semiHidden/>
    <w:rsid w:val="00D31C56"/>
    <w:pPr>
      <w:spacing w:after="100"/>
      <w:ind w:left="1680"/>
    </w:pPr>
  </w:style>
  <w:style w:type="paragraph" w:styleId="Header">
    <w:name w:val="header"/>
    <w:basedOn w:val="Normal"/>
    <w:link w:val="HeaderChar"/>
    <w:uiPriority w:val="99"/>
    <w:semiHidden/>
    <w:rsid w:val="001C428F"/>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34363B"/>
    <w:rPr>
      <w:rFonts w:ascii="Times New Roman" w:eastAsia="Calibri" w:hAnsi="Times New Roman" w:cs="Times New Roman"/>
      <w:sz w:val="24"/>
    </w:rPr>
  </w:style>
  <w:style w:type="paragraph" w:styleId="Footer">
    <w:name w:val="footer"/>
    <w:basedOn w:val="Normal"/>
    <w:link w:val="FooterChar"/>
    <w:uiPriority w:val="99"/>
    <w:semiHidden/>
    <w:rsid w:val="001C428F"/>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34363B"/>
    <w:rPr>
      <w:rFonts w:ascii="Times New Roman" w:eastAsia="Calibri" w:hAnsi="Times New Roman" w:cs="Times New Roman"/>
      <w:sz w:val="24"/>
    </w:rPr>
  </w:style>
  <w:style w:type="paragraph" w:customStyle="1" w:styleId="footnotetext0">
    <w:name w:val="footnote text0"/>
    <w:basedOn w:val="Normal"/>
    <w:link w:val="FootnoteTextChar"/>
    <w:uiPriority w:val="99"/>
    <w:semiHidden/>
    <w:rsid w:val="001C428F"/>
    <w:pPr>
      <w:spacing w:after="0" w:line="240" w:lineRule="auto"/>
    </w:pPr>
    <w:rPr>
      <w:sz w:val="20"/>
      <w:szCs w:val="20"/>
    </w:rPr>
  </w:style>
  <w:style w:type="character" w:customStyle="1" w:styleId="FootnoteTextChar">
    <w:name w:val="Footnote Text Char"/>
    <w:basedOn w:val="DefaultParagraphFont"/>
    <w:link w:val="footnotetext0"/>
    <w:uiPriority w:val="99"/>
    <w:semiHidden/>
    <w:rsid w:val="0034363B"/>
    <w:rPr>
      <w:rFonts w:ascii="Times New Roman" w:eastAsia="Calibri" w:hAnsi="Times New Roman" w:cs="Times New Roman"/>
      <w:sz w:val="20"/>
      <w:szCs w:val="20"/>
    </w:rPr>
  </w:style>
  <w:style w:type="character" w:styleId="FootnoteReference">
    <w:name w:val="footnote reference"/>
    <w:basedOn w:val="DefaultParagraphFont"/>
    <w:uiPriority w:val="99"/>
    <w:semiHidden/>
    <w:rsid w:val="001C428F"/>
    <w:rPr>
      <w:vertAlign w:val="superscript"/>
    </w:rPr>
  </w:style>
  <w:style w:type="paragraph" w:customStyle="1" w:styleId="BibliographyItem">
    <w:name w:val="BibliographyItem"/>
    <w:basedOn w:val="Reference"/>
    <w:rsid w:val="00C955E0"/>
  </w:style>
  <w:style w:type="character" w:styleId="UnresolvedMention">
    <w:name w:val="Unresolved Mention"/>
    <w:basedOn w:val="DefaultParagraphFont"/>
    <w:uiPriority w:val="99"/>
    <w:semiHidden/>
    <w:rsid w:val="00165D44"/>
    <w:rPr>
      <w:color w:val="605E5C"/>
      <w:shd w:val="clear" w:color="auto" w:fill="E1DFDD"/>
    </w:rPr>
  </w:style>
  <w:style w:type="character" w:styleId="FollowedHyperlink">
    <w:name w:val="FollowedHyperlink"/>
    <w:basedOn w:val="DefaultParagraphFont"/>
    <w:uiPriority w:val="99"/>
    <w:semiHidden/>
    <w:rsid w:val="00302A26"/>
    <w:rPr>
      <w:color w:val="800080" w:themeColor="followedHyperlink"/>
      <w:u w:val="single"/>
    </w:rPr>
  </w:style>
  <w:style w:type="paragraph" w:customStyle="1" w:styleId="TOCHeading2">
    <w:name w:val="TOC_Heading2"/>
    <w:basedOn w:val="TOCHeading1"/>
    <w:rsid w:val="00BB3900"/>
    <w:rPr>
      <w:sz w:val="28"/>
    </w:rPr>
  </w:style>
  <w:style w:type="paragraph" w:styleId="TableofFigures">
    <w:name w:val="table of figures"/>
    <w:aliases w:val="TOCList"/>
    <w:basedOn w:val="BaseText"/>
    <w:next w:val="TOCHeading2"/>
    <w:uiPriority w:val="99"/>
    <w:rsid w:val="004E4661"/>
    <w:pPr>
      <w:spacing w:line="240" w:lineRule="auto"/>
    </w:pPr>
    <w:rPr>
      <w:rFonts w:ascii="Arial Narrow" w:hAnsi="Arial Narrow"/>
    </w:rPr>
  </w:style>
  <w:style w:type="character" w:styleId="PlaceholderText">
    <w:name w:val="Placeholder Text"/>
    <w:basedOn w:val="DefaultParagraphFont"/>
    <w:uiPriority w:val="99"/>
    <w:semiHidden/>
    <w:rsid w:val="009002F0"/>
    <w:rPr>
      <w:color w:val="808080"/>
    </w:rPr>
  </w:style>
  <w:style w:type="paragraph" w:styleId="BalloonText">
    <w:name w:val="Balloon Text"/>
    <w:basedOn w:val="BaseText"/>
    <w:link w:val="BalloonTextChar"/>
    <w:uiPriority w:val="99"/>
    <w:semiHidden/>
    <w:rsid w:val="0017565D"/>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7565D"/>
    <w:rPr>
      <w:rFonts w:ascii="Segoe UI" w:eastAsia="Calibri" w:hAnsi="Segoe UI" w:cs="Segoe UI"/>
      <w:sz w:val="18"/>
      <w:szCs w:val="18"/>
    </w:rPr>
  </w:style>
  <w:style w:type="character" w:styleId="CommentReference">
    <w:name w:val="annotation reference"/>
    <w:basedOn w:val="DefaultParagraphFont"/>
    <w:uiPriority w:val="99"/>
    <w:semiHidden/>
    <w:rsid w:val="00F452DD"/>
    <w:rPr>
      <w:sz w:val="16"/>
      <w:szCs w:val="16"/>
    </w:rPr>
  </w:style>
  <w:style w:type="paragraph" w:styleId="CommentText">
    <w:name w:val="annotation text"/>
    <w:basedOn w:val="Normal"/>
    <w:link w:val="CommentTextChar"/>
    <w:uiPriority w:val="99"/>
    <w:semiHidden/>
    <w:rsid w:val="00F452DD"/>
    <w:pPr>
      <w:spacing w:line="240" w:lineRule="auto"/>
    </w:pPr>
    <w:rPr>
      <w:sz w:val="20"/>
      <w:szCs w:val="20"/>
    </w:rPr>
  </w:style>
  <w:style w:type="character" w:customStyle="1" w:styleId="CommentTextChar">
    <w:name w:val="Comment Text Char"/>
    <w:basedOn w:val="DefaultParagraphFont"/>
    <w:link w:val="CommentText"/>
    <w:uiPriority w:val="99"/>
    <w:semiHidden/>
    <w:rsid w:val="00F452DD"/>
    <w:rPr>
      <w:sz w:val="20"/>
      <w:szCs w:val="20"/>
    </w:rPr>
  </w:style>
  <w:style w:type="paragraph" w:styleId="CommentSubject">
    <w:name w:val="annotation subject"/>
    <w:basedOn w:val="CommentText"/>
    <w:next w:val="CommentText"/>
    <w:link w:val="CommentSubjectChar"/>
    <w:uiPriority w:val="99"/>
    <w:semiHidden/>
    <w:rsid w:val="00F452DD"/>
    <w:rPr>
      <w:b/>
      <w:bCs/>
    </w:rPr>
  </w:style>
  <w:style w:type="character" w:customStyle="1" w:styleId="CommentSubjectChar">
    <w:name w:val="Comment Subject Char"/>
    <w:basedOn w:val="CommentTextChar"/>
    <w:link w:val="CommentSubject"/>
    <w:uiPriority w:val="99"/>
    <w:semiHidden/>
    <w:rsid w:val="00F452DD"/>
    <w:rPr>
      <w:b/>
      <w:bCs/>
      <w:sz w:val="20"/>
      <w:szCs w:val="20"/>
    </w:rPr>
  </w:style>
  <w:style w:type="table" w:styleId="ListTable7Colorful">
    <w:name w:val="List Table 7 Colorful"/>
    <w:basedOn w:val="TableNormal"/>
    <w:uiPriority w:val="52"/>
    <w:rsid w:val="000F0539"/>
    <w:pPr>
      <w:spacing w:after="0"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Mention">
    <w:name w:val="Mention"/>
    <w:basedOn w:val="DefaultParagraphFont"/>
    <w:uiPriority w:val="99"/>
    <w:unhideWhenUsed/>
    <w:rPr>
      <w:color w:val="2B579A"/>
      <w:shd w:val="clear" w:color="auto" w:fill="E6E6E6"/>
    </w:rPr>
  </w:style>
  <w:style w:type="paragraph" w:customStyle="1" w:styleId="DMUHeadnoteParagraph">
    <w:name w:val="DMU Headnote Paragraph"/>
    <w:basedOn w:val="BodyText"/>
    <w:rsid w:val="0081293E"/>
    <w:pPr>
      <w:spacing w:before="0"/>
    </w:pPr>
  </w:style>
  <w:style w:type="paragraph" w:customStyle="1" w:styleId="DMUBulletedItem">
    <w:name w:val="DMU Bulleted Item"/>
    <w:basedOn w:val="DMUParaCont"/>
    <w:rsid w:val="0081293E"/>
    <w:pPr>
      <w:numPr>
        <w:numId w:val="5"/>
      </w:numPr>
    </w:pPr>
  </w:style>
  <w:style w:type="paragraph" w:customStyle="1" w:styleId="DMUNoIndentParagraph">
    <w:name w:val="DMU NoIndent Paragraph"/>
    <w:basedOn w:val="DMUParaCont"/>
    <w:rsid w:val="0081293E"/>
  </w:style>
  <w:style w:type="paragraph" w:customStyle="1" w:styleId="DMUQuotation">
    <w:name w:val="DMU Quotation"/>
    <w:basedOn w:val="DMUNoIndentParagraph"/>
    <w:rsid w:val="0081293E"/>
    <w:pPr>
      <w:ind w:left="2520"/>
    </w:pPr>
  </w:style>
  <w:style w:type="paragraph" w:customStyle="1" w:styleId="BookTitle">
    <w:name w:val="BookTitle"/>
    <w:basedOn w:val="RptTitle"/>
    <w:rsid w:val="006A110F"/>
  </w:style>
  <w:style w:type="paragraph" w:styleId="ListParagraph">
    <w:name w:val="List Paragraph"/>
    <w:basedOn w:val="Normal"/>
    <w:uiPriority w:val="34"/>
    <w:semiHidden/>
    <w:rsid w:val="00601173"/>
    <w:pPr>
      <w:ind w:left="720"/>
      <w:contextualSpacing/>
    </w:pPr>
  </w:style>
  <w:style w:type="table" w:styleId="TableGrid">
    <w:name w:val="Table Grid"/>
    <w:basedOn w:val="TableNormal"/>
    <w:uiPriority w:val="59"/>
    <w:rsid w:val="00C5394F"/>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styleId="PlainTable1">
    <w:name w:val="Plain Table 1"/>
    <w:basedOn w:val="TableNormal"/>
    <w:uiPriority w:val="41"/>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msoins0">
    <w:name w:val="msoins"/>
    <w:basedOn w:val="DefaultParagraphFont"/>
    <w:rsid w:val="00E731A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5580150">
      <w:bodyDiv w:val="1"/>
      <w:marLeft w:val="0"/>
      <w:marRight w:val="0"/>
      <w:marTop w:val="0"/>
      <w:marBottom w:val="0"/>
      <w:divBdr>
        <w:top w:val="none" w:sz="0" w:space="0" w:color="auto"/>
        <w:left w:val="none" w:sz="0" w:space="0" w:color="auto"/>
        <w:bottom w:val="none" w:sz="0" w:space="0" w:color="auto"/>
        <w:right w:val="none" w:sz="0" w:space="0" w:color="auto"/>
      </w:divBdr>
    </w:div>
    <w:div w:id="885264771">
      <w:bodyDiv w:val="1"/>
      <w:marLeft w:val="0"/>
      <w:marRight w:val="0"/>
      <w:marTop w:val="0"/>
      <w:marBottom w:val="0"/>
      <w:divBdr>
        <w:top w:val="none" w:sz="0" w:space="0" w:color="auto"/>
        <w:left w:val="none" w:sz="0" w:space="0" w:color="auto"/>
        <w:bottom w:val="none" w:sz="0" w:space="0" w:color="auto"/>
        <w:right w:val="none" w:sz="0" w:space="0" w:color="auto"/>
      </w:divBdr>
    </w:div>
    <w:div w:id="1733112444">
      <w:bodyDiv w:val="1"/>
      <w:marLeft w:val="0"/>
      <w:marRight w:val="0"/>
      <w:marTop w:val="0"/>
      <w:marBottom w:val="0"/>
      <w:divBdr>
        <w:top w:val="none" w:sz="0" w:space="0" w:color="auto"/>
        <w:left w:val="none" w:sz="0" w:space="0" w:color="auto"/>
        <w:bottom w:val="none" w:sz="0" w:space="0" w:color="auto"/>
        <w:right w:val="none" w:sz="0" w:space="0" w:color="auto"/>
      </w:divBdr>
    </w:div>
    <w:div w:id="1774983112">
      <w:bodyDiv w:val="1"/>
      <w:marLeft w:val="0"/>
      <w:marRight w:val="0"/>
      <w:marTop w:val="0"/>
      <w:marBottom w:val="0"/>
      <w:divBdr>
        <w:top w:val="none" w:sz="0" w:space="0" w:color="auto"/>
        <w:left w:val="none" w:sz="0" w:space="0" w:color="auto"/>
        <w:bottom w:val="none" w:sz="0" w:space="0" w:color="auto"/>
        <w:right w:val="none" w:sz="0" w:space="0" w:color="auto"/>
      </w:divBdr>
    </w:div>
    <w:div w:id="19193667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jpg"/><Relationship Id="rId18" Type="http://schemas.openxmlformats.org/officeDocument/2006/relationships/hyperlink" Target="https://gpm1.gesdisc.eosdis.nasa.gov/data/GPM_L3/GPM_3IMERGDL.07/" TargetMode="External"/><Relationship Id="rId26" Type="http://schemas.openxmlformats.org/officeDocument/2006/relationships/hyperlink" Target="https://www.adb.org/sites/default/files/institutional-document/32120/charter.pdf" TargetMode="External"/><Relationship Id="rId3" Type="http://schemas.openxmlformats.org/officeDocument/2006/relationships/customXml" Target="../customXml/item3.xml"/><Relationship Id="rId21" Type="http://schemas.openxmlformats.org/officeDocument/2006/relationships/hyperlink" Target="https://gpm1.gesdisc.eosdis.nasa.gov/data/GPM_L3/GPM_3IMERGDF.07/" TargetMode="External"/><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www.usgs.gov" TargetMode="External"/><Relationship Id="rId17" Type="http://schemas.openxmlformats.org/officeDocument/2006/relationships/hyperlink" Target="https://www.earthdata.nasa.gov/data/earthdata-login" TargetMode="External"/><Relationship Id="rId25" Type="http://schemas.openxmlformats.org/officeDocument/2006/relationships/image" Target="media/image5.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jsimpsonhttps.pps.eosdis.nasa.gov/imerg/gis/early/" TargetMode="External"/><Relationship Id="rId20" Type="http://schemas.openxmlformats.org/officeDocument/2006/relationships/hyperlink" Target="https://gpm1.gesdisc.eosdis.nasa.gov/data/GPM_L3/GPM_3IMERGHH.07/" TargetMode="External"/><Relationship Id="rId29" Type="http://schemas.openxmlformats.org/officeDocument/2006/relationships/hyperlink" Target="https://doi.org/10.1016/j.rse.2019.111629"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adb.org" TargetMode="External"/><Relationship Id="rId24" Type="http://schemas.openxmlformats.org/officeDocument/2006/relationships/image" Target="media/image4.png"/><Relationship Id="rId32"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hyperlink" Target="https://gpm.nasa.gov/data/directory" TargetMode="External"/><Relationship Id="rId23" Type="http://schemas.openxmlformats.org/officeDocument/2006/relationships/hyperlink" Target="https://earlywarning.usgs.gov/fews/" TargetMode="External"/><Relationship Id="rId28" Type="http://schemas.openxmlformats.org/officeDocument/2006/relationships/hyperlink" Target="https://doi.org/10.1016/j.jhydrol.2025.132771h" TargetMode="External"/><Relationship Id="rId10" Type="http://schemas.openxmlformats.org/officeDocument/2006/relationships/endnotes" Target="endnotes.xml"/><Relationship Id="rId19" Type="http://schemas.openxmlformats.org/officeDocument/2006/relationships/hyperlink" Target="https://gpm.nasa.gov/data/directory" TargetMode="External"/><Relationship Id="rId31" Type="http://schemas.openxmlformats.org/officeDocument/2006/relationships/hyperlink" Target="https://doi.org/10.3133/ofr20091131"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jpg"/><Relationship Id="rId22" Type="http://schemas.openxmlformats.org/officeDocument/2006/relationships/image" Target="media/image3.png"/><Relationship Id="rId27" Type="http://schemas.openxmlformats.org/officeDocument/2006/relationships/hyperlink" Target="https://doi.org/10.1007/s40899-020-00425-4" TargetMode="External"/><Relationship Id="rId30" Type="http://schemas.openxmlformats.org/officeDocument/2006/relationships/hyperlink" Target="https://doi.org/10.1016/j.jhydrol.2025.134458" TargetMode="External"/><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jdavis\Downloads\manuscript_template_v6.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A4FB122BB1BD9141A959870760A42A63" ma:contentTypeVersion="17" ma:contentTypeDescription="Create a new document." ma:contentTypeScope="" ma:versionID="fdd672feddc83625ac8ef9e9e8635488">
  <xsd:schema xmlns:xsd="http://www.w3.org/2001/XMLSchema" xmlns:xs="http://www.w3.org/2001/XMLSchema" xmlns:p="http://schemas.microsoft.com/office/2006/metadata/properties" xmlns:ns2="1741af05-4105-436b-99ed-2ae635da4422" xmlns:ns3="949c1712-297b-4d10-a511-7202a5ff7746" xmlns:ns4="31062a0d-ede8-4112-b4bb-00a9c1bc8e16" targetNamespace="http://schemas.microsoft.com/office/2006/metadata/properties" ma:root="true" ma:fieldsID="d767d4728b29cec640987e2ad1dc61af" ns2:_="" ns3:_="" ns4:_="">
    <xsd:import namespace="1741af05-4105-436b-99ed-2ae635da4422"/>
    <xsd:import namespace="949c1712-297b-4d10-a511-7202a5ff7746"/>
    <xsd:import namespace="31062a0d-ede8-4112-b4bb-00a9c1bc8e16"/>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lcf76f155ced4ddcb4097134ff3c332f" minOccurs="0"/>
                <xsd:element ref="ns4:TaxCatchAll" minOccurs="0"/>
                <xsd:element ref="ns2:MediaLengthInSeconds"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741af05-4105-436b-99ed-2ae635da442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9c5df3ad-b4e5-45d1-88c9-23db5f1fe618" ma:termSetId="09814cd3-568e-fe90-9814-8d621ff8fb84" ma:anchorId="fba54fb3-c3e1-fe81-a776-ca4b69148c4d" ma:open="true" ma:isKeyword="false">
      <xsd:complexType>
        <xsd:sequence>
          <xsd:element ref="pc:Terms" minOccurs="0" maxOccurs="1"/>
        </xsd:sequence>
      </xsd:complexType>
    </xsd:element>
    <xsd:element name="MediaLengthInSeconds" ma:index="21" nillable="true" ma:displayName="MediaLengthInSeconds" ma:hidden="true" ma:internalName="MediaLengthInSeconds" ma:readOnly="true">
      <xsd:simpleType>
        <xsd:restriction base="dms:Unknown"/>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49c1712-297b-4d10-a511-7202a5ff7746"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1062a0d-ede8-4112-b4bb-00a9c1bc8e16"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3b780418-57ba-46f2-aaba-133c47fd56af}" ma:internalName="TaxCatchAll" ma:showField="CatchAllData" ma:web="949c1712-297b-4d10-a511-7202a5ff774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741af05-4105-436b-99ed-2ae635da4422">
      <Terms xmlns="http://schemas.microsoft.com/office/infopath/2007/PartnerControls"/>
    </lcf76f155ced4ddcb4097134ff3c332f>
    <TaxCatchAll xmlns="31062a0d-ede8-4112-b4bb-00a9c1bc8e16"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3314119-9A1C-4E8A-8884-49AC1034C097}">
  <ds:schemaRefs>
    <ds:schemaRef ds:uri="http://schemas.openxmlformats.org/officeDocument/2006/bibliography"/>
  </ds:schemaRefs>
</ds:datastoreItem>
</file>

<file path=customXml/itemProps2.xml><?xml version="1.0" encoding="utf-8"?>
<ds:datastoreItem xmlns:ds="http://schemas.openxmlformats.org/officeDocument/2006/customXml" ds:itemID="{D0F6BE11-90C1-4198-9DB3-846E6901121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741af05-4105-436b-99ed-2ae635da4422"/>
    <ds:schemaRef ds:uri="949c1712-297b-4d10-a511-7202a5ff7746"/>
    <ds:schemaRef ds:uri="31062a0d-ede8-4112-b4bb-00a9c1bc8e1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BDA61F7-AA50-40AC-B999-190E12F9F9E9}">
  <ds:schemaRefs>
    <ds:schemaRef ds:uri="http://schemas.microsoft.com/office/2006/metadata/properties"/>
    <ds:schemaRef ds:uri="http://schemas.microsoft.com/office/infopath/2007/PartnerControls"/>
    <ds:schemaRef ds:uri="1741af05-4105-436b-99ed-2ae635da4422"/>
    <ds:schemaRef ds:uri="31062a0d-ede8-4112-b4bb-00a9c1bc8e16"/>
  </ds:schemaRefs>
</ds:datastoreItem>
</file>

<file path=customXml/itemProps4.xml><?xml version="1.0" encoding="utf-8"?>
<ds:datastoreItem xmlns:ds="http://schemas.openxmlformats.org/officeDocument/2006/customXml" ds:itemID="{165A24C4-AC84-42A8-8097-2C612D8503F0}">
  <ds:schemaRefs>
    <ds:schemaRef ds:uri="http://schemas.microsoft.com/sharepoint/v3/contenttype/forms"/>
  </ds:schemaRefs>
</ds:datastoreItem>
</file>

<file path=docMetadata/LabelInfo.xml><?xml version="1.0" encoding="utf-8"?>
<clbl:labelList xmlns:clbl="http://schemas.microsoft.com/office/2020/mipLabelMetadata">
  <clbl:label id="{6dd02d64-b7f3-43f7-a145-cfd68d338edf}" enabled="1" method="Standard" siteId="{0693b5ba-4b18-4d7b-9341-f32f400a5494}" removed="0"/>
</clbl:labelList>
</file>

<file path=docProps/app.xml><?xml version="1.0" encoding="utf-8"?>
<Properties xmlns="http://schemas.openxmlformats.org/officeDocument/2006/extended-properties" xmlns:vt="http://schemas.openxmlformats.org/officeDocument/2006/docPropsVTypes">
  <Template>manuscript_template_v6.0.dotx</Template>
  <TotalTime>4779</TotalTime>
  <Pages>51</Pages>
  <Words>11238</Words>
  <Characters>67546</Characters>
  <Application>Microsoft Office Word</Application>
  <DocSecurity>0</DocSecurity>
  <Lines>1777</Lines>
  <Paragraphs>949</Paragraphs>
  <ScaleCrop>false</ScaleCrop>
  <Company>Department of Interior</Company>
  <LinksUpToDate>false</LinksUpToDate>
  <CharactersWithSpaces>77835</CharactersWithSpaces>
  <SharedDoc>false</SharedDoc>
  <HLinks>
    <vt:vector size="288" baseType="variant">
      <vt:variant>
        <vt:i4>4456466</vt:i4>
      </vt:variant>
      <vt:variant>
        <vt:i4>180</vt:i4>
      </vt:variant>
      <vt:variant>
        <vt:i4>0</vt:i4>
      </vt:variant>
      <vt:variant>
        <vt:i4>5</vt:i4>
      </vt:variant>
      <vt:variant>
        <vt:lpwstr>https://doi.org/10.1016/j.jhydrol.2025.134458</vt:lpwstr>
      </vt:variant>
      <vt:variant>
        <vt:lpwstr/>
      </vt:variant>
      <vt:variant>
        <vt:i4>5898251</vt:i4>
      </vt:variant>
      <vt:variant>
        <vt:i4>177</vt:i4>
      </vt:variant>
      <vt:variant>
        <vt:i4>0</vt:i4>
      </vt:variant>
      <vt:variant>
        <vt:i4>5</vt:i4>
      </vt:variant>
      <vt:variant>
        <vt:lpwstr>https://doi.org/10.1016/j.rse.2019.111629</vt:lpwstr>
      </vt:variant>
      <vt:variant>
        <vt:lpwstr/>
      </vt:variant>
      <vt:variant>
        <vt:i4>4194321</vt:i4>
      </vt:variant>
      <vt:variant>
        <vt:i4>174</vt:i4>
      </vt:variant>
      <vt:variant>
        <vt:i4>0</vt:i4>
      </vt:variant>
      <vt:variant>
        <vt:i4>5</vt:i4>
      </vt:variant>
      <vt:variant>
        <vt:lpwstr>https://doi.org/10.1016/j.jhydrol.2025.132771</vt:lpwstr>
      </vt:variant>
      <vt:variant>
        <vt:lpwstr/>
      </vt:variant>
      <vt:variant>
        <vt:i4>2293818</vt:i4>
      </vt:variant>
      <vt:variant>
        <vt:i4>171</vt:i4>
      </vt:variant>
      <vt:variant>
        <vt:i4>0</vt:i4>
      </vt:variant>
      <vt:variant>
        <vt:i4>5</vt:i4>
      </vt:variant>
      <vt:variant>
        <vt:lpwstr>https://doi.org/10.1007/s40899-020-00425-4</vt:lpwstr>
      </vt:variant>
      <vt:variant>
        <vt:lpwstr/>
      </vt:variant>
      <vt:variant>
        <vt:i4>655385</vt:i4>
      </vt:variant>
      <vt:variant>
        <vt:i4>168</vt:i4>
      </vt:variant>
      <vt:variant>
        <vt:i4>0</vt:i4>
      </vt:variant>
      <vt:variant>
        <vt:i4>5</vt:i4>
      </vt:variant>
      <vt:variant>
        <vt:lpwstr>https://www.adb.org/sites/default/files/institutional-document/32120/charter.pdf</vt:lpwstr>
      </vt:variant>
      <vt:variant>
        <vt:lpwstr/>
      </vt:variant>
      <vt:variant>
        <vt:i4>8192097</vt:i4>
      </vt:variant>
      <vt:variant>
        <vt:i4>129</vt:i4>
      </vt:variant>
      <vt:variant>
        <vt:i4>0</vt:i4>
      </vt:variant>
      <vt:variant>
        <vt:i4>5</vt:i4>
      </vt:variant>
      <vt:variant>
        <vt:lpwstr>https://earlywarning.usgs.gov/fews/</vt:lpwstr>
      </vt:variant>
      <vt:variant>
        <vt:lpwstr/>
      </vt:variant>
      <vt:variant>
        <vt:i4>7733352</vt:i4>
      </vt:variant>
      <vt:variant>
        <vt:i4>120</vt:i4>
      </vt:variant>
      <vt:variant>
        <vt:i4>0</vt:i4>
      </vt:variant>
      <vt:variant>
        <vt:i4>5</vt:i4>
      </vt:variant>
      <vt:variant>
        <vt:lpwstr>https://gpm1.gesdisc.eosdis.nasa.gov/data/GPM_L3/GPM_3IMERGDF.07/</vt:lpwstr>
      </vt:variant>
      <vt:variant>
        <vt:lpwstr/>
      </vt:variant>
      <vt:variant>
        <vt:i4>7995494</vt:i4>
      </vt:variant>
      <vt:variant>
        <vt:i4>117</vt:i4>
      </vt:variant>
      <vt:variant>
        <vt:i4>0</vt:i4>
      </vt:variant>
      <vt:variant>
        <vt:i4>5</vt:i4>
      </vt:variant>
      <vt:variant>
        <vt:lpwstr>https://gpm1.gesdisc.eosdis.nasa.gov/data/GPM_L3/GPM_3IMERGHH.07/</vt:lpwstr>
      </vt:variant>
      <vt:variant>
        <vt:lpwstr/>
      </vt:variant>
      <vt:variant>
        <vt:i4>7012387</vt:i4>
      </vt:variant>
      <vt:variant>
        <vt:i4>114</vt:i4>
      </vt:variant>
      <vt:variant>
        <vt:i4>0</vt:i4>
      </vt:variant>
      <vt:variant>
        <vt:i4>5</vt:i4>
      </vt:variant>
      <vt:variant>
        <vt:lpwstr>https://gpm.nasa.gov/data/directory</vt:lpwstr>
      </vt:variant>
      <vt:variant>
        <vt:lpwstr/>
      </vt:variant>
      <vt:variant>
        <vt:i4>7733346</vt:i4>
      </vt:variant>
      <vt:variant>
        <vt:i4>111</vt:i4>
      </vt:variant>
      <vt:variant>
        <vt:i4>0</vt:i4>
      </vt:variant>
      <vt:variant>
        <vt:i4>5</vt:i4>
      </vt:variant>
      <vt:variant>
        <vt:lpwstr>https://gpm1.gesdisc.eosdis.nasa.gov/data/GPM_L3/GPM_3IMERGDL.07/</vt:lpwstr>
      </vt:variant>
      <vt:variant>
        <vt:lpwstr/>
      </vt:variant>
      <vt:variant>
        <vt:i4>5242974</vt:i4>
      </vt:variant>
      <vt:variant>
        <vt:i4>108</vt:i4>
      </vt:variant>
      <vt:variant>
        <vt:i4>0</vt:i4>
      </vt:variant>
      <vt:variant>
        <vt:i4>5</vt:i4>
      </vt:variant>
      <vt:variant>
        <vt:lpwstr>https://www.earthdata.nasa.gov/data/earthdata-login</vt:lpwstr>
      </vt:variant>
      <vt:variant>
        <vt:lpwstr>toc-how-do-i-register-with-earthdata-login</vt:lpwstr>
      </vt:variant>
      <vt:variant>
        <vt:i4>3735649</vt:i4>
      </vt:variant>
      <vt:variant>
        <vt:i4>105</vt:i4>
      </vt:variant>
      <vt:variant>
        <vt:i4>0</vt:i4>
      </vt:variant>
      <vt:variant>
        <vt:i4>5</vt:i4>
      </vt:variant>
      <vt:variant>
        <vt:lpwstr>https://jsimpsonhttps.pps.eosdis.nasa.gov/imerg/gis/early/</vt:lpwstr>
      </vt:variant>
      <vt:variant>
        <vt:lpwstr/>
      </vt:variant>
      <vt:variant>
        <vt:i4>7012387</vt:i4>
      </vt:variant>
      <vt:variant>
        <vt:i4>102</vt:i4>
      </vt:variant>
      <vt:variant>
        <vt:i4>0</vt:i4>
      </vt:variant>
      <vt:variant>
        <vt:i4>5</vt:i4>
      </vt:variant>
      <vt:variant>
        <vt:lpwstr>https://gpm.nasa.gov/data/directory</vt:lpwstr>
      </vt:variant>
      <vt:variant>
        <vt:lpwstr/>
      </vt:variant>
      <vt:variant>
        <vt:i4>5701697</vt:i4>
      </vt:variant>
      <vt:variant>
        <vt:i4>84</vt:i4>
      </vt:variant>
      <vt:variant>
        <vt:i4>0</vt:i4>
      </vt:variant>
      <vt:variant>
        <vt:i4>5</vt:i4>
      </vt:variant>
      <vt:variant>
        <vt:lpwstr>http://www.usgs.gov/</vt:lpwstr>
      </vt:variant>
      <vt:variant>
        <vt:lpwstr/>
      </vt:variant>
      <vt:variant>
        <vt:i4>2097256</vt:i4>
      </vt:variant>
      <vt:variant>
        <vt:i4>81</vt:i4>
      </vt:variant>
      <vt:variant>
        <vt:i4>0</vt:i4>
      </vt:variant>
      <vt:variant>
        <vt:i4>5</vt:i4>
      </vt:variant>
      <vt:variant>
        <vt:lpwstr>http://www.adb.org/</vt:lpwstr>
      </vt:variant>
      <vt:variant>
        <vt:lpwstr/>
      </vt:variant>
      <vt:variant>
        <vt:i4>1179701</vt:i4>
      </vt:variant>
      <vt:variant>
        <vt:i4>77</vt:i4>
      </vt:variant>
      <vt:variant>
        <vt:i4>0</vt:i4>
      </vt:variant>
      <vt:variant>
        <vt:i4>5</vt:i4>
      </vt:variant>
      <vt:variant>
        <vt:lpwstr/>
      </vt:variant>
      <vt:variant>
        <vt:lpwstr>_Toc227413109</vt:lpwstr>
      </vt:variant>
      <vt:variant>
        <vt:i4>1179701</vt:i4>
      </vt:variant>
      <vt:variant>
        <vt:i4>74</vt:i4>
      </vt:variant>
      <vt:variant>
        <vt:i4>0</vt:i4>
      </vt:variant>
      <vt:variant>
        <vt:i4>5</vt:i4>
      </vt:variant>
      <vt:variant>
        <vt:lpwstr/>
      </vt:variant>
      <vt:variant>
        <vt:lpwstr>_Toc227413108</vt:lpwstr>
      </vt:variant>
      <vt:variant>
        <vt:i4>1179701</vt:i4>
      </vt:variant>
      <vt:variant>
        <vt:i4>71</vt:i4>
      </vt:variant>
      <vt:variant>
        <vt:i4>0</vt:i4>
      </vt:variant>
      <vt:variant>
        <vt:i4>5</vt:i4>
      </vt:variant>
      <vt:variant>
        <vt:lpwstr/>
      </vt:variant>
      <vt:variant>
        <vt:lpwstr>_Toc227413107</vt:lpwstr>
      </vt:variant>
      <vt:variant>
        <vt:i4>1179701</vt:i4>
      </vt:variant>
      <vt:variant>
        <vt:i4>68</vt:i4>
      </vt:variant>
      <vt:variant>
        <vt:i4>0</vt:i4>
      </vt:variant>
      <vt:variant>
        <vt:i4>5</vt:i4>
      </vt:variant>
      <vt:variant>
        <vt:lpwstr/>
      </vt:variant>
      <vt:variant>
        <vt:lpwstr>_Toc227413106</vt:lpwstr>
      </vt:variant>
      <vt:variant>
        <vt:i4>1179701</vt:i4>
      </vt:variant>
      <vt:variant>
        <vt:i4>65</vt:i4>
      </vt:variant>
      <vt:variant>
        <vt:i4>0</vt:i4>
      </vt:variant>
      <vt:variant>
        <vt:i4>5</vt:i4>
      </vt:variant>
      <vt:variant>
        <vt:lpwstr/>
      </vt:variant>
      <vt:variant>
        <vt:lpwstr>_Toc227413105</vt:lpwstr>
      </vt:variant>
      <vt:variant>
        <vt:i4>1179701</vt:i4>
      </vt:variant>
      <vt:variant>
        <vt:i4>62</vt:i4>
      </vt:variant>
      <vt:variant>
        <vt:i4>0</vt:i4>
      </vt:variant>
      <vt:variant>
        <vt:i4>5</vt:i4>
      </vt:variant>
      <vt:variant>
        <vt:lpwstr/>
      </vt:variant>
      <vt:variant>
        <vt:lpwstr>_Toc227413104</vt:lpwstr>
      </vt:variant>
      <vt:variant>
        <vt:i4>1179701</vt:i4>
      </vt:variant>
      <vt:variant>
        <vt:i4>59</vt:i4>
      </vt:variant>
      <vt:variant>
        <vt:i4>0</vt:i4>
      </vt:variant>
      <vt:variant>
        <vt:i4>5</vt:i4>
      </vt:variant>
      <vt:variant>
        <vt:lpwstr/>
      </vt:variant>
      <vt:variant>
        <vt:lpwstr>_Toc227413103</vt:lpwstr>
      </vt:variant>
      <vt:variant>
        <vt:i4>1114164</vt:i4>
      </vt:variant>
      <vt:variant>
        <vt:i4>53</vt:i4>
      </vt:variant>
      <vt:variant>
        <vt:i4>0</vt:i4>
      </vt:variant>
      <vt:variant>
        <vt:i4>5</vt:i4>
      </vt:variant>
      <vt:variant>
        <vt:lpwstr/>
      </vt:variant>
      <vt:variant>
        <vt:lpwstr>_Toc227413031</vt:lpwstr>
      </vt:variant>
      <vt:variant>
        <vt:i4>1114164</vt:i4>
      </vt:variant>
      <vt:variant>
        <vt:i4>50</vt:i4>
      </vt:variant>
      <vt:variant>
        <vt:i4>0</vt:i4>
      </vt:variant>
      <vt:variant>
        <vt:i4>5</vt:i4>
      </vt:variant>
      <vt:variant>
        <vt:lpwstr/>
      </vt:variant>
      <vt:variant>
        <vt:lpwstr>_Toc227413030</vt:lpwstr>
      </vt:variant>
      <vt:variant>
        <vt:i4>1048628</vt:i4>
      </vt:variant>
      <vt:variant>
        <vt:i4>47</vt:i4>
      </vt:variant>
      <vt:variant>
        <vt:i4>0</vt:i4>
      </vt:variant>
      <vt:variant>
        <vt:i4>5</vt:i4>
      </vt:variant>
      <vt:variant>
        <vt:lpwstr/>
      </vt:variant>
      <vt:variant>
        <vt:lpwstr>_Toc227413029</vt:lpwstr>
      </vt:variant>
      <vt:variant>
        <vt:i4>1048628</vt:i4>
      </vt:variant>
      <vt:variant>
        <vt:i4>44</vt:i4>
      </vt:variant>
      <vt:variant>
        <vt:i4>0</vt:i4>
      </vt:variant>
      <vt:variant>
        <vt:i4>5</vt:i4>
      </vt:variant>
      <vt:variant>
        <vt:lpwstr/>
      </vt:variant>
      <vt:variant>
        <vt:lpwstr>_Toc227413028</vt:lpwstr>
      </vt:variant>
      <vt:variant>
        <vt:i4>1900603</vt:i4>
      </vt:variant>
      <vt:variant>
        <vt:i4>38</vt:i4>
      </vt:variant>
      <vt:variant>
        <vt:i4>0</vt:i4>
      </vt:variant>
      <vt:variant>
        <vt:i4>5</vt:i4>
      </vt:variant>
      <vt:variant>
        <vt:lpwstr/>
      </vt:variant>
      <vt:variant>
        <vt:lpwstr>_Toc219446494</vt:lpwstr>
      </vt:variant>
      <vt:variant>
        <vt:i4>1900603</vt:i4>
      </vt:variant>
      <vt:variant>
        <vt:i4>35</vt:i4>
      </vt:variant>
      <vt:variant>
        <vt:i4>0</vt:i4>
      </vt:variant>
      <vt:variant>
        <vt:i4>5</vt:i4>
      </vt:variant>
      <vt:variant>
        <vt:lpwstr/>
      </vt:variant>
      <vt:variant>
        <vt:lpwstr>_Toc219446493</vt:lpwstr>
      </vt:variant>
      <vt:variant>
        <vt:i4>1900603</vt:i4>
      </vt:variant>
      <vt:variant>
        <vt:i4>32</vt:i4>
      </vt:variant>
      <vt:variant>
        <vt:i4>0</vt:i4>
      </vt:variant>
      <vt:variant>
        <vt:i4>5</vt:i4>
      </vt:variant>
      <vt:variant>
        <vt:lpwstr/>
      </vt:variant>
      <vt:variant>
        <vt:lpwstr>_Toc219446490</vt:lpwstr>
      </vt:variant>
      <vt:variant>
        <vt:i4>1835067</vt:i4>
      </vt:variant>
      <vt:variant>
        <vt:i4>29</vt:i4>
      </vt:variant>
      <vt:variant>
        <vt:i4>0</vt:i4>
      </vt:variant>
      <vt:variant>
        <vt:i4>5</vt:i4>
      </vt:variant>
      <vt:variant>
        <vt:lpwstr/>
      </vt:variant>
      <vt:variant>
        <vt:lpwstr>_Toc219446489</vt:lpwstr>
      </vt:variant>
      <vt:variant>
        <vt:i4>1835067</vt:i4>
      </vt:variant>
      <vt:variant>
        <vt:i4>26</vt:i4>
      </vt:variant>
      <vt:variant>
        <vt:i4>0</vt:i4>
      </vt:variant>
      <vt:variant>
        <vt:i4>5</vt:i4>
      </vt:variant>
      <vt:variant>
        <vt:lpwstr/>
      </vt:variant>
      <vt:variant>
        <vt:lpwstr>_Toc219446488</vt:lpwstr>
      </vt:variant>
      <vt:variant>
        <vt:i4>1835067</vt:i4>
      </vt:variant>
      <vt:variant>
        <vt:i4>23</vt:i4>
      </vt:variant>
      <vt:variant>
        <vt:i4>0</vt:i4>
      </vt:variant>
      <vt:variant>
        <vt:i4>5</vt:i4>
      </vt:variant>
      <vt:variant>
        <vt:lpwstr/>
      </vt:variant>
      <vt:variant>
        <vt:lpwstr>_Toc219446487</vt:lpwstr>
      </vt:variant>
      <vt:variant>
        <vt:i4>1835067</vt:i4>
      </vt:variant>
      <vt:variant>
        <vt:i4>20</vt:i4>
      </vt:variant>
      <vt:variant>
        <vt:i4>0</vt:i4>
      </vt:variant>
      <vt:variant>
        <vt:i4>5</vt:i4>
      </vt:variant>
      <vt:variant>
        <vt:lpwstr/>
      </vt:variant>
      <vt:variant>
        <vt:lpwstr>_Toc219446486</vt:lpwstr>
      </vt:variant>
      <vt:variant>
        <vt:i4>1835067</vt:i4>
      </vt:variant>
      <vt:variant>
        <vt:i4>17</vt:i4>
      </vt:variant>
      <vt:variant>
        <vt:i4>0</vt:i4>
      </vt:variant>
      <vt:variant>
        <vt:i4>5</vt:i4>
      </vt:variant>
      <vt:variant>
        <vt:lpwstr/>
      </vt:variant>
      <vt:variant>
        <vt:lpwstr>_Toc219446485</vt:lpwstr>
      </vt:variant>
      <vt:variant>
        <vt:i4>1835067</vt:i4>
      </vt:variant>
      <vt:variant>
        <vt:i4>14</vt:i4>
      </vt:variant>
      <vt:variant>
        <vt:i4>0</vt:i4>
      </vt:variant>
      <vt:variant>
        <vt:i4>5</vt:i4>
      </vt:variant>
      <vt:variant>
        <vt:lpwstr/>
      </vt:variant>
      <vt:variant>
        <vt:lpwstr>_Toc219446484</vt:lpwstr>
      </vt:variant>
      <vt:variant>
        <vt:i4>1835067</vt:i4>
      </vt:variant>
      <vt:variant>
        <vt:i4>11</vt:i4>
      </vt:variant>
      <vt:variant>
        <vt:i4>0</vt:i4>
      </vt:variant>
      <vt:variant>
        <vt:i4>5</vt:i4>
      </vt:variant>
      <vt:variant>
        <vt:lpwstr/>
      </vt:variant>
      <vt:variant>
        <vt:lpwstr>_Toc219446483</vt:lpwstr>
      </vt:variant>
      <vt:variant>
        <vt:i4>1835067</vt:i4>
      </vt:variant>
      <vt:variant>
        <vt:i4>8</vt:i4>
      </vt:variant>
      <vt:variant>
        <vt:i4>0</vt:i4>
      </vt:variant>
      <vt:variant>
        <vt:i4>5</vt:i4>
      </vt:variant>
      <vt:variant>
        <vt:lpwstr/>
      </vt:variant>
      <vt:variant>
        <vt:lpwstr>_Toc219446482</vt:lpwstr>
      </vt:variant>
      <vt:variant>
        <vt:i4>1835067</vt:i4>
      </vt:variant>
      <vt:variant>
        <vt:i4>5</vt:i4>
      </vt:variant>
      <vt:variant>
        <vt:i4>0</vt:i4>
      </vt:variant>
      <vt:variant>
        <vt:i4>5</vt:i4>
      </vt:variant>
      <vt:variant>
        <vt:lpwstr/>
      </vt:variant>
      <vt:variant>
        <vt:lpwstr>_Toc219446481</vt:lpwstr>
      </vt:variant>
      <vt:variant>
        <vt:i4>1835067</vt:i4>
      </vt:variant>
      <vt:variant>
        <vt:i4>2</vt:i4>
      </vt:variant>
      <vt:variant>
        <vt:i4>0</vt:i4>
      </vt:variant>
      <vt:variant>
        <vt:i4>5</vt:i4>
      </vt:variant>
      <vt:variant>
        <vt:lpwstr/>
      </vt:variant>
      <vt:variant>
        <vt:lpwstr>_Toc219446480</vt:lpwstr>
      </vt:variant>
      <vt:variant>
        <vt:i4>3801153</vt:i4>
      </vt:variant>
      <vt:variant>
        <vt:i4>24</vt:i4>
      </vt:variant>
      <vt:variant>
        <vt:i4>0</vt:i4>
      </vt:variant>
      <vt:variant>
        <vt:i4>5</vt:i4>
      </vt:variant>
      <vt:variant>
        <vt:lpwstr>mailto:fdwomoh@contractor.usgs.gov</vt:lpwstr>
      </vt:variant>
      <vt:variant>
        <vt:lpwstr/>
      </vt:variant>
      <vt:variant>
        <vt:i4>3539015</vt:i4>
      </vt:variant>
      <vt:variant>
        <vt:i4>21</vt:i4>
      </vt:variant>
      <vt:variant>
        <vt:i4>0</vt:i4>
      </vt:variant>
      <vt:variant>
        <vt:i4>5</vt:i4>
      </vt:variant>
      <vt:variant>
        <vt:lpwstr>mailto:skagone@contractor.usgs.gov</vt:lpwstr>
      </vt:variant>
      <vt:variant>
        <vt:lpwstr/>
      </vt:variant>
      <vt:variant>
        <vt:i4>3801153</vt:i4>
      </vt:variant>
      <vt:variant>
        <vt:i4>18</vt:i4>
      </vt:variant>
      <vt:variant>
        <vt:i4>0</vt:i4>
      </vt:variant>
      <vt:variant>
        <vt:i4>5</vt:i4>
      </vt:variant>
      <vt:variant>
        <vt:lpwstr>mailto:fdwomoh@contractor.usgs.gov</vt:lpwstr>
      </vt:variant>
      <vt:variant>
        <vt:lpwstr/>
      </vt:variant>
      <vt:variant>
        <vt:i4>3801153</vt:i4>
      </vt:variant>
      <vt:variant>
        <vt:i4>15</vt:i4>
      </vt:variant>
      <vt:variant>
        <vt:i4>0</vt:i4>
      </vt:variant>
      <vt:variant>
        <vt:i4>5</vt:i4>
      </vt:variant>
      <vt:variant>
        <vt:lpwstr>mailto:fdwomoh@contractor.usgs.gov</vt:lpwstr>
      </vt:variant>
      <vt:variant>
        <vt:lpwstr/>
      </vt:variant>
      <vt:variant>
        <vt:i4>3801153</vt:i4>
      </vt:variant>
      <vt:variant>
        <vt:i4>12</vt:i4>
      </vt:variant>
      <vt:variant>
        <vt:i4>0</vt:i4>
      </vt:variant>
      <vt:variant>
        <vt:i4>5</vt:i4>
      </vt:variant>
      <vt:variant>
        <vt:lpwstr>mailto:fdwomoh@contractor.usgs.gov</vt:lpwstr>
      </vt:variant>
      <vt:variant>
        <vt:lpwstr/>
      </vt:variant>
      <vt:variant>
        <vt:i4>5570665</vt:i4>
      </vt:variant>
      <vt:variant>
        <vt:i4>9</vt:i4>
      </vt:variant>
      <vt:variant>
        <vt:i4>0</vt:i4>
      </vt:variant>
      <vt:variant>
        <vt:i4>5</vt:i4>
      </vt:variant>
      <vt:variant>
        <vt:lpwstr>mailto:senay@usgs.gov</vt:lpwstr>
      </vt:variant>
      <vt:variant>
        <vt:lpwstr/>
      </vt:variant>
      <vt:variant>
        <vt:i4>3539015</vt:i4>
      </vt:variant>
      <vt:variant>
        <vt:i4>6</vt:i4>
      </vt:variant>
      <vt:variant>
        <vt:i4>0</vt:i4>
      </vt:variant>
      <vt:variant>
        <vt:i4>5</vt:i4>
      </vt:variant>
      <vt:variant>
        <vt:lpwstr>mailto:skagone@contractor.usgs.gov</vt:lpwstr>
      </vt:variant>
      <vt:variant>
        <vt:lpwstr/>
      </vt:variant>
      <vt:variant>
        <vt:i4>3801153</vt:i4>
      </vt:variant>
      <vt:variant>
        <vt:i4>3</vt:i4>
      </vt:variant>
      <vt:variant>
        <vt:i4>0</vt:i4>
      </vt:variant>
      <vt:variant>
        <vt:i4>5</vt:i4>
      </vt:variant>
      <vt:variant>
        <vt:lpwstr>mailto:fdwomoh@contractor.usgs.gov</vt:lpwstr>
      </vt:variant>
      <vt:variant>
        <vt:lpwstr/>
      </vt:variant>
      <vt:variant>
        <vt:i4>3539015</vt:i4>
      </vt:variant>
      <vt:variant>
        <vt:i4>0</vt:i4>
      </vt:variant>
      <vt:variant>
        <vt:i4>0</vt:i4>
      </vt:variant>
      <vt:variant>
        <vt:i4>5</vt:i4>
      </vt:variant>
      <vt:variant>
        <vt:lpwstr>mailto:skagone@contractor.usgs.gov</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Davis, Rebekah J</dc:creator>
  <cp:keywords/>
  <dc:description/>
  <cp:lastModifiedBy>Kagone, Stefanie (Contractor)</cp:lastModifiedBy>
  <cp:revision>1020</cp:revision>
  <cp:lastPrinted>2018-11-27T13:43:00Z</cp:lastPrinted>
  <dcterms:created xsi:type="dcterms:W3CDTF">2026-01-29T05:12:00Z</dcterms:created>
  <dcterms:modified xsi:type="dcterms:W3CDTF">2026-04-28T22:48:00Z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GrammarlyDocumentId">
    <vt:lpwstr>0b0d6726-6e8f-4e21-8fe1-cc768b56196b</vt:lpwstr>
  </property>
  <property fmtid="{D5CDD505-2E9C-101B-9397-08002B2CF9AE}" pid="4" name="ContentTypeId">
    <vt:lpwstr>0x010100A4FB122BB1BD9141A959870760A42A63</vt:lpwstr>
  </property>
  <property fmtid="{D5CDD505-2E9C-101B-9397-08002B2CF9AE}" pid="5" name="MediaServiceImageTags">
    <vt:lpwstr/>
  </property>
  <property fmtid="{D5CDD505-2E9C-101B-9397-08002B2CF9AE}" pid="6" name="docLang">
    <vt:lpwstr>en</vt:lpwstr>
  </property>
</Properties>
</file>